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A0E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A0EFD" w:rsidRDefault="00295529" w:rsidP="0010095E">
            <w:pPr>
              <w:pStyle w:val="EPName"/>
            </w:pPr>
            <w:bookmarkStart w:id="0" w:name="_GoBack"/>
            <w:bookmarkEnd w:id="0"/>
            <w:r w:rsidRPr="00CA0EFD">
              <w:t>Európai Parlament</w:t>
            </w:r>
          </w:p>
          <w:p w:rsidR="00751A4A" w:rsidRPr="00CA0EF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A0EFD">
              <w:t>2024</w:t>
            </w:r>
            <w:r w:rsidR="00817416" w:rsidRPr="00CA0EFD">
              <w:t>-202</w:t>
            </w:r>
            <w:r w:rsidRPr="00CA0EF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A0EFD" w:rsidRDefault="00187494" w:rsidP="0010095E">
            <w:pPr>
              <w:pStyle w:val="EPLogo"/>
            </w:pPr>
            <w:r w:rsidRPr="00CA0EFD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A0EFD" w:rsidRDefault="00D058B8" w:rsidP="004C5D52">
      <w:pPr>
        <w:pStyle w:val="LineTop"/>
      </w:pPr>
    </w:p>
    <w:p w:rsidR="00680577" w:rsidRPr="00CA0EFD" w:rsidRDefault="00295529" w:rsidP="00680577">
      <w:pPr>
        <w:pStyle w:val="EPBodyTA1"/>
      </w:pPr>
      <w:r w:rsidRPr="00CA0EFD">
        <w:t>ELFOGADOTT SZÖVEGEK</w:t>
      </w:r>
    </w:p>
    <w:p w:rsidR="00D058B8" w:rsidRPr="00CA0EFD" w:rsidRDefault="00D058B8" w:rsidP="00D058B8">
      <w:pPr>
        <w:pStyle w:val="LineBottom"/>
      </w:pPr>
    </w:p>
    <w:p w:rsidR="00295529" w:rsidRPr="00CA0EFD" w:rsidRDefault="00295529" w:rsidP="00295529">
      <w:pPr>
        <w:pStyle w:val="ATHeading1"/>
      </w:pPr>
      <w:bookmarkStart w:id="1" w:name="TANumber"/>
      <w:r w:rsidRPr="00CA0EFD">
        <w:t>P10_</w:t>
      </w:r>
      <w:proofErr w:type="gramStart"/>
      <w:r w:rsidRPr="00CA0EFD">
        <w:t>TA(</w:t>
      </w:r>
      <w:proofErr w:type="gramEnd"/>
      <w:r w:rsidRPr="00CA0EFD">
        <w:t>2024)000</w:t>
      </w:r>
      <w:r w:rsidR="003E7E9E">
        <w:t>7</w:t>
      </w:r>
      <w:bookmarkEnd w:id="1"/>
    </w:p>
    <w:p w:rsidR="00295529" w:rsidRPr="00CA0EFD" w:rsidRDefault="00FB2519" w:rsidP="00870F42">
      <w:pPr>
        <w:pStyle w:val="ATHeading2"/>
      </w:pPr>
      <w:bookmarkStart w:id="2" w:name="title"/>
      <w:r w:rsidRPr="00FB2519">
        <w:t xml:space="preserve">Végrehajtási jogi </w:t>
      </w:r>
      <w:proofErr w:type="gramStart"/>
      <w:r w:rsidRPr="00FB2519">
        <w:t>aktussal</w:t>
      </w:r>
      <w:proofErr w:type="gramEnd"/>
      <w:r w:rsidRPr="00FB2519">
        <w:t xml:space="preserve"> szembeni kifogás: </w:t>
      </w:r>
      <w:r>
        <w:t xml:space="preserve">a </w:t>
      </w:r>
      <w:proofErr w:type="spellStart"/>
      <w:r w:rsidRPr="00FB2519">
        <w:t>ciprokonazol</w:t>
      </w:r>
      <w:proofErr w:type="spellEnd"/>
      <w:r w:rsidRPr="00FB2519">
        <w:t xml:space="preserve"> megengedett szermaradék-határértéke</w:t>
      </w:r>
      <w:r w:rsidR="00870F42">
        <w:t>i</w:t>
      </w:r>
      <w:bookmarkEnd w:id="2"/>
    </w:p>
    <w:p w:rsidR="00295529" w:rsidRPr="00CA0EFD" w:rsidRDefault="00295529" w:rsidP="00295529">
      <w:pPr>
        <w:rPr>
          <w:i/>
          <w:vanish/>
        </w:rPr>
      </w:pPr>
      <w:r w:rsidRPr="00CA0EFD">
        <w:rPr>
          <w:i/>
        </w:rPr>
        <w:fldChar w:fldCharType="begin"/>
      </w:r>
      <w:r w:rsidRPr="00CA0EFD">
        <w:rPr>
          <w:i/>
        </w:rPr>
        <w:instrText xml:space="preserve"> TC"(</w:instrText>
      </w:r>
      <w:bookmarkStart w:id="3" w:name="DocNumber"/>
      <w:r w:rsidRPr="00CA0EFD">
        <w:rPr>
          <w:i/>
        </w:rPr>
        <w:instrText>B10-0021/2024</w:instrText>
      </w:r>
      <w:bookmarkEnd w:id="3"/>
      <w:r w:rsidRPr="00CA0EFD">
        <w:rPr>
          <w:i/>
        </w:rPr>
        <w:instrText xml:space="preserve">)"\l3 \n&gt; \* MERGEFORMAT </w:instrText>
      </w:r>
      <w:r w:rsidRPr="00CA0EFD">
        <w:rPr>
          <w:i/>
        </w:rPr>
        <w:fldChar w:fldCharType="end"/>
      </w:r>
    </w:p>
    <w:p w:rsidR="00295529" w:rsidRPr="00CA0EFD" w:rsidRDefault="00295529" w:rsidP="00295529">
      <w:pPr>
        <w:rPr>
          <w:vanish/>
        </w:rPr>
      </w:pPr>
      <w:bookmarkStart w:id="4" w:name="PE"/>
      <w:r w:rsidRPr="00CA0EFD">
        <w:rPr>
          <w:vanish/>
        </w:rPr>
        <w:t>PE763.091</w:t>
      </w:r>
      <w:bookmarkEnd w:id="4"/>
    </w:p>
    <w:p w:rsidR="00295529" w:rsidRPr="00CA0EFD" w:rsidRDefault="00295529" w:rsidP="00295529">
      <w:pPr>
        <w:pStyle w:val="ATHeading3"/>
      </w:pPr>
      <w:bookmarkStart w:id="5" w:name="Sujet"/>
      <w:r w:rsidRPr="00CA0EFD">
        <w:t xml:space="preserve">Az Európai Parlament 2024. </w:t>
      </w:r>
      <w:r w:rsidR="00FB2519">
        <w:t>szeptember 18</w:t>
      </w:r>
      <w:r w:rsidRPr="00CA0EFD">
        <w:t xml:space="preserve">-i állásfoglalása a 396/2005/EK európai parlamenti és tanácsi rendelet II. és III. mellékletének a bizonyos termékekben, illetve azok felületén található </w:t>
      </w:r>
      <w:proofErr w:type="spellStart"/>
      <w:r w:rsidRPr="00CA0EFD">
        <w:t>ciprokonazol</w:t>
      </w:r>
      <w:proofErr w:type="spellEnd"/>
      <w:r w:rsidRPr="00CA0EFD">
        <w:t xml:space="preserve"> és </w:t>
      </w:r>
      <w:proofErr w:type="spellStart"/>
      <w:r w:rsidRPr="00CA0EFD">
        <w:t>spirodiklofen</w:t>
      </w:r>
      <w:proofErr w:type="spellEnd"/>
      <w:r w:rsidRPr="00CA0EFD">
        <w:t xml:space="preserve"> legmagasabb megengedett szermaradék-határértékei tekintetében történő módosításáról szóló bizottsági rendelet</w:t>
      </w:r>
      <w:r w:rsidR="00FE7E29">
        <w:t>re irányuló</w:t>
      </w:r>
      <w:r w:rsidRPr="00CA0EFD">
        <w:t xml:space="preserve"> tervezetről</w:t>
      </w:r>
      <w:bookmarkEnd w:id="5"/>
      <w:r w:rsidRPr="00CA0EFD">
        <w:t xml:space="preserve"> </w:t>
      </w:r>
      <w:bookmarkStart w:id="6" w:name="References"/>
      <w:r w:rsidRPr="00CA0EFD">
        <w:t>(D091952/05 – 2024/</w:t>
      </w:r>
      <w:proofErr w:type="gramStart"/>
      <w:r w:rsidRPr="00CA0EFD">
        <w:t>2759(</w:t>
      </w:r>
      <w:proofErr w:type="gramEnd"/>
      <w:r w:rsidRPr="00CA0EFD">
        <w:t>RPS))</w:t>
      </w:r>
      <w:bookmarkEnd w:id="6"/>
    </w:p>
    <w:p w:rsidR="00580DEB" w:rsidRPr="00CA0EFD" w:rsidRDefault="00580DEB" w:rsidP="00580DEB">
      <w:pPr>
        <w:pStyle w:val="EPComma"/>
      </w:pPr>
      <w:bookmarkStart w:id="7" w:name="TextBodyBegin"/>
      <w:bookmarkEnd w:id="7"/>
      <w:r w:rsidRPr="00CA0EFD">
        <w:rPr>
          <w:i/>
          <w:iCs/>
        </w:rPr>
        <w:t>Az Európai Parlament,</w:t>
      </w:r>
    </w:p>
    <w:p w:rsidR="00580DEB" w:rsidRPr="00CA0EFD" w:rsidRDefault="00580DEB" w:rsidP="00FB2519">
      <w:pPr>
        <w:pStyle w:val="NormalHanging12a"/>
        <w:widowControl/>
      </w:pPr>
      <w:r w:rsidRPr="00CA0EFD">
        <w:t>–</w:t>
      </w:r>
      <w:r w:rsidRPr="00CA0EFD">
        <w:tab/>
        <w:t xml:space="preserve">tekintettel a 396/2005/EK európai parlamenti és tanácsi rendelet II. és III. mellékletének a bizonyos termékekben, illetve azok felületén található </w:t>
      </w:r>
      <w:proofErr w:type="spellStart"/>
      <w:r w:rsidRPr="00CA0EFD">
        <w:t>ciprokonazol</w:t>
      </w:r>
      <w:proofErr w:type="spellEnd"/>
      <w:r w:rsidRPr="00CA0EFD">
        <w:t xml:space="preserve"> és </w:t>
      </w:r>
      <w:proofErr w:type="spellStart"/>
      <w:r w:rsidRPr="00CA0EFD">
        <w:t>spirodiklofen</w:t>
      </w:r>
      <w:proofErr w:type="spellEnd"/>
      <w:r w:rsidRPr="00CA0EFD">
        <w:t xml:space="preserve"> legmagasabb megengedett szermaradék-határértékei tekintetében történő módosításáról szóló bizottsági rendelet tervezetére (D091952/05),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–</w:t>
      </w:r>
      <w:r w:rsidRPr="00CA0EFD">
        <w:tab/>
        <w:t>tekintettel a növényi és állati eredetű élelmiszerekben és takarmányokban, illetve azok felületén található megengedett növényvédőszer-maradékok határértékéről, valamint a 91/414/EGK tanácsi irányelv módosításáról szóló, 2005. február 23-i 396/2005/EK európai parlamenti és tanácsi rendeletre</w:t>
      </w:r>
      <w:r w:rsidRPr="00CA0EFD">
        <w:rPr>
          <w:rStyle w:val="FootnoteReference"/>
        </w:rPr>
        <w:footnoteReference w:id="1"/>
      </w:r>
      <w:r w:rsidRPr="00CA0EFD">
        <w:t xml:space="preserve"> és különösen annak 14. cikke (1) bekezdésének a) pontjára, valamint 49. cikke (2) bekezdésére,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–</w:t>
      </w:r>
      <w:r w:rsidRPr="00CA0EFD">
        <w:tab/>
        <w:t>tekintettel a növényvédő szerek forgalomba hozataláról, valamint a 79/117/EGK és a 91/414/EGK tanácsi irányelv hatályon kívül helyezéséről szóló, 2009. október 21-i 1107/2009/EK európai parlamenti és tanácsi rendeletre</w:t>
      </w:r>
      <w:r w:rsidRPr="00CA0EFD">
        <w:rPr>
          <w:rStyle w:val="FootnoteReference"/>
          <w:szCs w:val="24"/>
        </w:rPr>
        <w:footnoteReference w:id="2"/>
      </w:r>
      <w:r w:rsidRPr="00CA0EFD">
        <w:t xml:space="preserve"> és különösen annak 4. cikke (1) bekezdésére, 4. cikke (2) bekezdése első </w:t>
      </w:r>
      <w:proofErr w:type="spellStart"/>
      <w:r w:rsidRPr="00CA0EFD">
        <w:t>albekezdésének</w:t>
      </w:r>
      <w:proofErr w:type="spellEnd"/>
      <w:r w:rsidRPr="00CA0EFD">
        <w:t xml:space="preserve"> a) pontjára és II. mellékletének 3.6.4. pontjára,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–</w:t>
      </w:r>
      <w:r w:rsidRPr="00CA0EFD">
        <w:tab/>
        <w:t>tekintettel az élelmiszerjog általános elveiről és követelményeiről, az Európai Élelmiszerbiztonsági Hatóság létrehozásáról és az élelmiszerbiztonságra vonatkozó eljárások megállapításáról szóló, 2002. január 28-i 178/2002/EK európai parlamenti és tanácsi rendeletre</w:t>
      </w:r>
      <w:r w:rsidRPr="00CA0EFD">
        <w:rPr>
          <w:rStyle w:val="FootnoteReference"/>
          <w:szCs w:val="24"/>
        </w:rPr>
        <w:footnoteReference w:id="3"/>
      </w:r>
      <w:r w:rsidRPr="00CA0EFD">
        <w:t xml:space="preserve"> és különösen annak 5. cikke (1) bekezdésére,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lastRenderedPageBreak/>
        <w:t>–</w:t>
      </w:r>
      <w:r w:rsidRPr="00CA0EFD">
        <w:tab/>
        <w:t>tekintettel az Európai Unió működéséről szóló szerződés (EUMSZ) 11</w:t>
      </w:r>
      <w:proofErr w:type="gramStart"/>
      <w:r w:rsidRPr="00CA0EFD">
        <w:t>.,</w:t>
      </w:r>
      <w:proofErr w:type="gramEnd"/>
      <w:r w:rsidRPr="00CA0EFD">
        <w:t xml:space="preserve"> 13., 168. és 191. cikkére,</w:t>
      </w:r>
    </w:p>
    <w:p w:rsidR="00580DEB" w:rsidRPr="00CA0EFD" w:rsidRDefault="00580DEB" w:rsidP="00FB2519">
      <w:pPr>
        <w:pStyle w:val="NormalHanging12a"/>
        <w:widowControl/>
      </w:pPr>
      <w:r w:rsidRPr="00CA0EFD">
        <w:t>–</w:t>
      </w:r>
      <w:r w:rsidRPr="00CA0EFD">
        <w:tab/>
        <w:t>tekintettel az Európai Élelmiszerbiztonsági Hatóság (EFSA) által 2021. február 19-én elfogadott és 2021. március 22-én közzétett, indokolással ellátott véleményre</w:t>
      </w:r>
      <w:r w:rsidRPr="00CA0EFD">
        <w:rPr>
          <w:rStyle w:val="FootnoteReference"/>
          <w:szCs w:val="24"/>
        </w:rPr>
        <w:footnoteReference w:id="4"/>
      </w:r>
      <w:r w:rsidRPr="00CA0EFD">
        <w:t>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–</w:t>
      </w:r>
      <w:r w:rsidRPr="00CA0EFD">
        <w:tab/>
        <w:t xml:space="preserve">tekintettel az EFSA által 2010. november 8-án jóváhagyott és 2010. november 25-én közzétett, a </w:t>
      </w:r>
      <w:proofErr w:type="spellStart"/>
      <w:r w:rsidRPr="00CA0EFD">
        <w:t>peszticidekre</w:t>
      </w:r>
      <w:proofErr w:type="spellEnd"/>
      <w:r w:rsidRPr="00CA0EFD">
        <w:t xml:space="preserve"> vonatkozó szakértői értékelésről szóló következtetésre</w:t>
      </w:r>
      <w:r w:rsidRPr="00CA0EFD">
        <w:rPr>
          <w:rStyle w:val="FootnoteReference"/>
        </w:rPr>
        <w:footnoteReference w:id="5"/>
      </w:r>
      <w:r w:rsidRPr="00CA0EFD">
        <w:t>,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–</w:t>
      </w:r>
      <w:r w:rsidRPr="00CA0EFD">
        <w:tab/>
        <w:t>tekintettel az Európai Vegyianyag-ügynökség kockázatértékelési bizottsága (RAC) által 2015. szeptember 11-én elfogadott véleményre</w:t>
      </w:r>
      <w:r w:rsidRPr="00CA0EFD">
        <w:rPr>
          <w:rStyle w:val="FootnoteReference"/>
          <w:szCs w:val="24"/>
        </w:rPr>
        <w:footnoteReference w:id="6"/>
      </w:r>
      <w:r w:rsidRPr="00CA0EFD">
        <w:t>,</w:t>
      </w:r>
    </w:p>
    <w:p w:rsidR="00580DEB" w:rsidRPr="00CA0EFD" w:rsidRDefault="00580DEB" w:rsidP="00FB2519">
      <w:pPr>
        <w:pStyle w:val="NormalHanging12a"/>
        <w:widowControl/>
      </w:pPr>
      <w:r w:rsidRPr="00CA0EFD">
        <w:t>–</w:t>
      </w:r>
      <w:r w:rsidRPr="00CA0EFD">
        <w:tab/>
        <w:t>tekintettel a Bizottságra ruházott végrehajtási hatáskörök gyakorlására vonatkozó eljárások megállapításáról szóló, 1999. június 28-i 1999/468/EK tanácsi határozat</w:t>
      </w:r>
      <w:r w:rsidRPr="00CA0EFD">
        <w:rPr>
          <w:rStyle w:val="FootnoteReference"/>
        </w:rPr>
        <w:footnoteReference w:id="7"/>
      </w:r>
      <w:r w:rsidRPr="00CA0EFD">
        <w:t xml:space="preserve"> 5a. cikke (3) bekezdésének b) pontjára és 5a. cikkének (5) bekezdésére,</w:t>
      </w:r>
    </w:p>
    <w:p w:rsidR="00580DEB" w:rsidRPr="00CA0EFD" w:rsidRDefault="00580DEB" w:rsidP="00FB2519">
      <w:pPr>
        <w:pStyle w:val="NormalHanging12a"/>
        <w:widowControl/>
      </w:pPr>
      <w:r w:rsidRPr="00CA0EFD">
        <w:t>–</w:t>
      </w:r>
      <w:r w:rsidRPr="00CA0EFD">
        <w:tab/>
        <w:t>tekintettel eljárási szabályzata 115. cikkének (2) és (3) bekezdés</w:t>
      </w:r>
      <w:r w:rsidR="00870F42">
        <w:t>é</w:t>
      </w:r>
      <w:r w:rsidRPr="00CA0EFD">
        <w:t>re és (4) bekezdésének c) pontjára,</w:t>
      </w:r>
    </w:p>
    <w:p w:rsidR="00580DEB" w:rsidRPr="00CA0EFD" w:rsidRDefault="00580DEB" w:rsidP="00FB2519">
      <w:pPr>
        <w:pStyle w:val="NormalHanging12a"/>
        <w:widowControl/>
      </w:pPr>
      <w:r w:rsidRPr="00CA0EFD">
        <w:t>–</w:t>
      </w:r>
      <w:r w:rsidRPr="00CA0EFD">
        <w:tab/>
        <w:t>tekintettel a Környezetvédelmi, Közegészségügyi és Élelmiszer-biztonsági Bizottság állásfoglalási indítványára,</w:t>
      </w:r>
    </w:p>
    <w:p w:rsidR="00580DEB" w:rsidRPr="00CA0EFD" w:rsidRDefault="00580DEB" w:rsidP="00FB2519">
      <w:pPr>
        <w:pStyle w:val="NormalHanging12a"/>
        <w:widowControl/>
      </w:pPr>
      <w:r w:rsidRPr="00CA0EFD">
        <w:t>A.</w:t>
      </w:r>
      <w:r w:rsidRPr="00CA0EFD">
        <w:tab/>
        <w:t xml:space="preserve">mivel a mezőgazdasági termelők 2024 első felében tartott tüntetésein az egyik legfőbb követelés a tisztességes és egyenlő bánásmód biztosítása volt a harmadik országokból </w:t>
      </w:r>
      <w:proofErr w:type="gramStart"/>
      <w:r w:rsidRPr="00CA0EFD">
        <w:t>importált</w:t>
      </w:r>
      <w:proofErr w:type="gramEnd"/>
      <w:r w:rsidRPr="00CA0EFD">
        <w:t xml:space="preserve"> termékek esetében is, amelyeknek ugyanazon normáknak kell megfelelniük, mint az Unióban előállított termékeknek;</w:t>
      </w:r>
    </w:p>
    <w:p w:rsidR="00580DEB" w:rsidRPr="00CA0EFD" w:rsidRDefault="00580DEB" w:rsidP="00FB2519">
      <w:pPr>
        <w:pStyle w:val="NormalHanging12a"/>
        <w:widowControl/>
      </w:pPr>
      <w:r w:rsidRPr="00CA0EFD">
        <w:t>B.</w:t>
      </w:r>
      <w:r w:rsidRPr="00CA0EFD">
        <w:tab/>
        <w:t xml:space="preserve">mivel a bizottsági rendelettervezet elfogadása a továbbiakban is lehetővé tenné az Unióba irányuló </w:t>
      </w:r>
      <w:proofErr w:type="gramStart"/>
      <w:r w:rsidRPr="00CA0EFD">
        <w:t>importot</w:t>
      </w:r>
      <w:proofErr w:type="gramEnd"/>
      <w:r w:rsidRPr="00CA0EFD">
        <w:t>, amely nem felel meg az uniós mezőgazdasági termelőkre vonatkozó előírásoknak;</w:t>
      </w:r>
    </w:p>
    <w:p w:rsidR="00580DEB" w:rsidRPr="00CA0EFD" w:rsidRDefault="00580DEB" w:rsidP="00FB2519">
      <w:pPr>
        <w:pStyle w:val="NormalHanging12a"/>
        <w:widowControl/>
      </w:pPr>
      <w:r w:rsidRPr="00CA0EFD">
        <w:t>C.</w:t>
      </w:r>
      <w:r w:rsidRPr="00CA0EFD">
        <w:tab/>
        <w:t>mivel egy ilyen helyzet versenyhátrányba sodorná az uniós mezőgazdasági termelőket;</w:t>
      </w:r>
    </w:p>
    <w:p w:rsidR="00580DEB" w:rsidRPr="00CA0EFD" w:rsidRDefault="00580DEB" w:rsidP="00FB2519">
      <w:pPr>
        <w:pStyle w:val="NormalHanging12a"/>
        <w:widowControl/>
      </w:pPr>
      <w:r w:rsidRPr="00CA0EFD">
        <w:t>D.</w:t>
      </w:r>
      <w:r w:rsidRPr="00CA0EFD">
        <w:tab/>
        <w:t xml:space="preserve">mivel a </w:t>
      </w:r>
      <w:proofErr w:type="spellStart"/>
      <w:r w:rsidRPr="00CA0EFD">
        <w:t>ciprokonazol</w:t>
      </w:r>
      <w:proofErr w:type="spellEnd"/>
      <w:r w:rsidRPr="00CA0EFD">
        <w:t xml:space="preserve"> az </w:t>
      </w:r>
      <w:proofErr w:type="spellStart"/>
      <w:r w:rsidRPr="00CA0EFD">
        <w:t>azolok</w:t>
      </w:r>
      <w:proofErr w:type="spellEnd"/>
      <w:r w:rsidRPr="00CA0EFD">
        <w:t xml:space="preserve"> osztályába tartozó gombaölő szer, amelyet főként gabonafélék, kávé, cukorrépa, alma és szőlő, valamint földimogyoró esetében használnak;</w:t>
      </w:r>
    </w:p>
    <w:p w:rsidR="00580DEB" w:rsidRPr="00CA0EFD" w:rsidRDefault="00580DEB" w:rsidP="00FB2519">
      <w:pPr>
        <w:pStyle w:val="NormalHanging12a"/>
        <w:widowControl/>
      </w:pPr>
      <w:r w:rsidRPr="00CA0EFD">
        <w:t>E.</w:t>
      </w:r>
      <w:r w:rsidRPr="00CA0EFD">
        <w:tab/>
      </w:r>
      <w:proofErr w:type="gramStart"/>
      <w:r w:rsidRPr="00CA0EFD">
        <w:t>mivel</w:t>
      </w:r>
      <w:proofErr w:type="gramEnd"/>
      <w:r w:rsidRPr="00CA0EFD">
        <w:t xml:space="preserve"> a </w:t>
      </w:r>
      <w:proofErr w:type="spellStart"/>
      <w:r w:rsidRPr="00CA0EFD">
        <w:t>ciprokonazol</w:t>
      </w:r>
      <w:proofErr w:type="spellEnd"/>
      <w:r w:rsidRPr="00CA0EFD">
        <w:t xml:space="preserve"> hatóanyag jóváhagyása 2021. május 31-én lejárt; mivel 2018 szeptemberében meghosszabbítás iránti kérelmet nyújtottak be, amelyet aztán 2018 </w:t>
      </w:r>
      <w:r w:rsidRPr="00CA0EFD">
        <w:lastRenderedPageBreak/>
        <w:t xml:space="preserve">decemberében vissza is vontak; mivel visszavonásra került valamennyi, </w:t>
      </w:r>
      <w:proofErr w:type="spellStart"/>
      <w:r w:rsidRPr="00CA0EFD">
        <w:t>ciprokonazolt</w:t>
      </w:r>
      <w:proofErr w:type="spellEnd"/>
      <w:r w:rsidRPr="00CA0EFD">
        <w:t xml:space="preserve"> tartalmazó növényvédő szerre vonatkozó engedély;</w:t>
      </w:r>
    </w:p>
    <w:p w:rsidR="00580DEB" w:rsidRPr="00CA0EFD" w:rsidRDefault="00580DEB" w:rsidP="00FB2519">
      <w:pPr>
        <w:pStyle w:val="NormalHanging12a"/>
        <w:widowControl/>
      </w:pPr>
      <w:r w:rsidRPr="00CA0EFD">
        <w:t>F.</w:t>
      </w:r>
      <w:r w:rsidRPr="00CA0EFD">
        <w:tab/>
      </w:r>
      <w:proofErr w:type="gramStart"/>
      <w:r w:rsidRPr="00CA0EFD">
        <w:t xml:space="preserve">mivel a </w:t>
      </w:r>
      <w:proofErr w:type="spellStart"/>
      <w:r w:rsidRPr="00CA0EFD">
        <w:t>ciprokonazol</w:t>
      </w:r>
      <w:proofErr w:type="spellEnd"/>
      <w:r w:rsidRPr="00CA0EFD">
        <w:t xml:space="preserve"> az 1272/2008/EK európai parlamenti és tanácsi rendeletnek</w:t>
      </w:r>
      <w:r w:rsidRPr="00CA0EFD">
        <w:rPr>
          <w:rStyle w:val="FootnoteReference"/>
        </w:rPr>
        <w:footnoteReference w:id="8"/>
      </w:r>
      <w:r w:rsidRPr="00CA0EFD">
        <w:t xml:space="preserve"> megfelelően olyan anyagként van besorolva, amely reprodukciót károsító (1B. kategória), lenyelve mérgező (akut toxicitás, 3. kategória), mérgező a májra (STOT RE 2), valamint vízi környezetre veszélyes (vízi akut toxicitás, 1. kategória) és krónikus hosszan tartó hatásokkal járó, a vízi élővilágra nagyon mérgező, (vízi krónikus toxicitás, 1. kategória)</w:t>
      </w:r>
      <w:r w:rsidRPr="00CA0EFD">
        <w:rPr>
          <w:rStyle w:val="FootnoteReference"/>
        </w:rPr>
        <w:footnoteReference w:id="9"/>
      </w:r>
      <w:r w:rsidRPr="00CA0EFD">
        <w:t>;</w:t>
      </w:r>
      <w:proofErr w:type="gramEnd"/>
    </w:p>
    <w:p w:rsidR="00580DEB" w:rsidRPr="00CA0EFD" w:rsidRDefault="00580DEB" w:rsidP="00FB2519">
      <w:pPr>
        <w:pStyle w:val="NormalHanging12a"/>
        <w:widowControl/>
      </w:pPr>
      <w:r w:rsidRPr="00CA0EFD">
        <w:t>G.</w:t>
      </w:r>
      <w:r w:rsidRPr="00CA0EFD">
        <w:tab/>
      </w:r>
      <w:proofErr w:type="gramStart"/>
      <w:r w:rsidRPr="00CA0EFD">
        <w:t xml:space="preserve">mivel a </w:t>
      </w:r>
      <w:proofErr w:type="spellStart"/>
      <w:r w:rsidRPr="00CA0EFD">
        <w:t>ciprokonazol</w:t>
      </w:r>
      <w:proofErr w:type="spellEnd"/>
      <w:r w:rsidRPr="00CA0EFD">
        <w:t xml:space="preserve"> az </w:t>
      </w:r>
      <w:proofErr w:type="spellStart"/>
      <w:r w:rsidRPr="00CA0EFD">
        <w:t>ergoszterol</w:t>
      </w:r>
      <w:proofErr w:type="spellEnd"/>
      <w:r w:rsidRPr="00CA0EFD">
        <w:t xml:space="preserve"> bioszintézist gátló szerek </w:t>
      </w:r>
      <w:proofErr w:type="spellStart"/>
      <w:r w:rsidRPr="00CA0EFD">
        <w:t>triazol</w:t>
      </w:r>
      <w:proofErr w:type="spellEnd"/>
      <w:r w:rsidRPr="00CA0EFD">
        <w:t xml:space="preserve"> csoportjába tartozik, és ezáltal az endokrin rendszert károsító hatásai lehetnek</w:t>
      </w:r>
      <w:r w:rsidRPr="00CA0EFD">
        <w:rPr>
          <w:rStyle w:val="FootnoteReference"/>
        </w:rPr>
        <w:footnoteReference w:id="10"/>
      </w:r>
      <w:r w:rsidR="00870F42">
        <w:t>;</w:t>
      </w:r>
      <w:r w:rsidRPr="00CA0EFD">
        <w:t xml:space="preserve"> mivel az EFSA a </w:t>
      </w:r>
      <w:proofErr w:type="spellStart"/>
      <w:r w:rsidRPr="00CA0EFD">
        <w:t>ciprokonazol</w:t>
      </w:r>
      <w:proofErr w:type="spellEnd"/>
      <w:r w:rsidRPr="00CA0EFD">
        <w:t xml:space="preserve"> ezen endokrin károsító potenciálját nem az endokrin rendszert károsító tulajdonságok meghatározására szolgáló, 2018. november 10. óta alkalmazott (EU) 2018/605 bizottsági rendeletben</w:t>
      </w:r>
      <w:r w:rsidRPr="00CA0EFD">
        <w:rPr>
          <w:rStyle w:val="FootnoteReference"/>
        </w:rPr>
        <w:footnoteReference w:id="11"/>
      </w:r>
      <w:r w:rsidRPr="00CA0EFD">
        <w:t xml:space="preserve"> meghatározott tudományos kritériumok alapján értékelte; mivel az endokrin rendszerrel kapcsolatos hatások gyakran alacsony dózisnál jelentkeznek, és mivel az endokrin rendszert károsító anyagok esetében gyakran nincs biztonságos küszöbérték</w:t>
      </w:r>
      <w:r w:rsidRPr="00CA0EFD">
        <w:rPr>
          <w:rStyle w:val="FootnoteReference"/>
        </w:rPr>
        <w:footnoteReference w:id="12"/>
      </w:r>
      <w:r w:rsidRPr="00CA0EFD">
        <w:t>;</w:t>
      </w:r>
      <w:proofErr w:type="gramEnd"/>
    </w:p>
    <w:p w:rsidR="00580DEB" w:rsidRPr="00CA0EFD" w:rsidRDefault="00580DEB" w:rsidP="00FB2519">
      <w:pPr>
        <w:pStyle w:val="NormalHanging12a"/>
        <w:widowControl/>
      </w:pPr>
      <w:r w:rsidRPr="00CA0EFD">
        <w:t>H.</w:t>
      </w:r>
      <w:r w:rsidRPr="00CA0EFD">
        <w:tab/>
      </w:r>
      <w:proofErr w:type="gramStart"/>
      <w:r w:rsidRPr="00CA0EFD">
        <w:t>mivel</w:t>
      </w:r>
      <w:proofErr w:type="gramEnd"/>
      <w:r w:rsidRPr="00CA0EFD">
        <w:t xml:space="preserve"> egyre több kiadvány hangsúlyozza, hogy az </w:t>
      </w:r>
      <w:proofErr w:type="spellStart"/>
      <w:r w:rsidRPr="00CA0EFD">
        <w:t>azoltartalmú</w:t>
      </w:r>
      <w:proofErr w:type="spellEnd"/>
      <w:r w:rsidRPr="00CA0EFD">
        <w:t xml:space="preserve"> gombaölő szerek jelentős mértékben hozzájárulnak az </w:t>
      </w:r>
      <w:proofErr w:type="spellStart"/>
      <w:r w:rsidRPr="00CA0EFD">
        <w:rPr>
          <w:i/>
        </w:rPr>
        <w:t>Aspergillus</w:t>
      </w:r>
      <w:proofErr w:type="spellEnd"/>
      <w:r w:rsidRPr="00CA0EFD">
        <w:rPr>
          <w:i/>
        </w:rPr>
        <w:t xml:space="preserve"> </w:t>
      </w:r>
      <w:proofErr w:type="spellStart"/>
      <w:r w:rsidRPr="00CA0EFD">
        <w:rPr>
          <w:i/>
        </w:rPr>
        <w:t>spp</w:t>
      </w:r>
      <w:proofErr w:type="spellEnd"/>
      <w:r w:rsidRPr="00CA0EFD">
        <w:rPr>
          <w:i/>
        </w:rPr>
        <w:t>.</w:t>
      </w:r>
      <w:r w:rsidRPr="00CA0EFD">
        <w:t>-</w:t>
      </w:r>
      <w:proofErr w:type="spellStart"/>
      <w:r w:rsidRPr="00CA0EFD">
        <w:t>vel</w:t>
      </w:r>
      <w:proofErr w:type="spellEnd"/>
      <w:r w:rsidRPr="00CA0EFD">
        <w:t xml:space="preserve"> szembeni környezeti rezisztencia fokozott előfordulásához</w:t>
      </w:r>
      <w:r w:rsidRPr="00CA0EFD">
        <w:rPr>
          <w:rStyle w:val="FootnoteReference"/>
        </w:rPr>
        <w:footnoteReference w:id="13"/>
      </w:r>
      <w:r w:rsidRPr="00CA0EFD">
        <w:t xml:space="preserve">; mivel a Bizottság felkérte az EFSA-t, hogy értékelje az </w:t>
      </w:r>
      <w:proofErr w:type="spellStart"/>
      <w:r w:rsidRPr="00CA0EFD">
        <w:t>azoltartalmú</w:t>
      </w:r>
      <w:proofErr w:type="spellEnd"/>
      <w:r w:rsidRPr="00CA0EFD">
        <w:t xml:space="preserve"> gombaölő szerek – emberi felhasználásra szánt gyógyszerektől </w:t>
      </w:r>
      <w:r w:rsidRPr="00CA0EFD">
        <w:lastRenderedPageBreak/>
        <w:t xml:space="preserve">eltérő – alkalmazásának az </w:t>
      </w:r>
      <w:proofErr w:type="spellStart"/>
      <w:r w:rsidRPr="00CA0EFD">
        <w:t>azol</w:t>
      </w:r>
      <w:proofErr w:type="spellEnd"/>
      <w:r w:rsidRPr="00CA0EFD">
        <w:t xml:space="preserve">-rezisztens </w:t>
      </w:r>
      <w:proofErr w:type="spellStart"/>
      <w:r w:rsidRPr="00CA0EFD">
        <w:rPr>
          <w:i/>
        </w:rPr>
        <w:t>Aspergillus</w:t>
      </w:r>
      <w:proofErr w:type="spellEnd"/>
      <w:r w:rsidRPr="00CA0EFD">
        <w:rPr>
          <w:i/>
        </w:rPr>
        <w:t xml:space="preserve"> </w:t>
      </w:r>
      <w:proofErr w:type="spellStart"/>
      <w:r w:rsidRPr="00CA0EFD">
        <w:rPr>
          <w:i/>
        </w:rPr>
        <w:t>spp</w:t>
      </w:r>
      <w:proofErr w:type="spellEnd"/>
      <w:r w:rsidRPr="00CA0EFD">
        <w:rPr>
          <w:i/>
        </w:rPr>
        <w:t>.</w:t>
      </w:r>
      <w:r w:rsidRPr="00CA0EFD">
        <w:t xml:space="preserve"> fejlődésére gyakorolt hatását; mivel a kért tudományos jelentést még nem tették közzé, és várhatóan csak 2024 decemberében véglegesítik</w:t>
      </w:r>
      <w:r w:rsidRPr="00CA0EFD">
        <w:rPr>
          <w:rStyle w:val="FootnoteReference"/>
        </w:rPr>
        <w:footnoteReference w:id="14"/>
      </w:r>
      <w:r w:rsidRPr="00CA0EFD">
        <w:t>;</w:t>
      </w:r>
    </w:p>
    <w:p w:rsidR="00580DEB" w:rsidRPr="00CA0EFD" w:rsidRDefault="00580DEB" w:rsidP="00FB2519">
      <w:pPr>
        <w:pStyle w:val="NormalHanging12a"/>
        <w:widowControl/>
      </w:pPr>
      <w:proofErr w:type="gramStart"/>
      <w:r w:rsidRPr="00CA0EFD">
        <w:rPr>
          <w:color w:val="000000" w:themeColor="text1"/>
        </w:rPr>
        <w:t>I.</w:t>
      </w:r>
      <w:r w:rsidRPr="00CA0EFD">
        <w:rPr>
          <w:color w:val="000000" w:themeColor="text1"/>
        </w:rPr>
        <w:tab/>
      </w:r>
      <w:r w:rsidRPr="00CA0EFD">
        <w:t xml:space="preserve">mivel ezért a 396/2005/EK rendelet II. mellékletében helyénvaló törölni a </w:t>
      </w:r>
      <w:proofErr w:type="spellStart"/>
      <w:r w:rsidRPr="00CA0EFD">
        <w:t>ciprokonazol</w:t>
      </w:r>
      <w:proofErr w:type="spellEnd"/>
      <w:r w:rsidRPr="00CA0EFD">
        <w:t xml:space="preserve"> tekintetében megállapított jelenlegi legmagasabb szermaradék-határértékeket (MRL-</w:t>
      </w:r>
      <w:proofErr w:type="spellStart"/>
      <w:r w:rsidRPr="00CA0EFD">
        <w:t>eket</w:t>
      </w:r>
      <w:proofErr w:type="spellEnd"/>
      <w:r w:rsidRPr="00CA0EFD">
        <w:t>), az említett rendelet 17. cikkével összhangban, amely szerint a Bizottságnak el kell hagynia az említett rendelet II. és III. mellékletében a 0,01 mg/kg alapértelmezett értékre vagy a vonatkozó kimutatási határra meghatározott MRL-</w:t>
      </w:r>
      <w:proofErr w:type="spellStart"/>
      <w:r w:rsidRPr="00CA0EFD">
        <w:t>eket</w:t>
      </w:r>
      <w:proofErr w:type="spellEnd"/>
      <w:r w:rsidRPr="00CA0EFD">
        <w:t xml:space="preserve"> anélkül, hogy kikérné az EFSA véleményét egy adott hatóanyagra vonatkozóan, ha annak engedélyét visszavonták;</w:t>
      </w:r>
      <w:proofErr w:type="gramEnd"/>
    </w:p>
    <w:p w:rsidR="00580DEB" w:rsidRPr="00CA0EFD" w:rsidRDefault="00580DEB" w:rsidP="00FB2519">
      <w:pPr>
        <w:pStyle w:val="NormalHanging12a"/>
        <w:widowControl/>
      </w:pPr>
      <w:r w:rsidRPr="00CA0EFD">
        <w:t>J.</w:t>
      </w:r>
      <w:r w:rsidRPr="00CA0EFD">
        <w:tab/>
      </w:r>
      <w:proofErr w:type="gramStart"/>
      <w:r w:rsidRPr="00CA0EFD">
        <w:t>mivel</w:t>
      </w:r>
      <w:proofErr w:type="gramEnd"/>
      <w:r w:rsidRPr="00CA0EFD">
        <w:t xml:space="preserve"> azonban a bizottsági rendelettervezetben a Bizottság számos termék (gabonafélék, magvak, hús, máj és vese) esetében a legmagasabb megengedett szermaradék-határértékeknek (MRL-</w:t>
      </w:r>
      <w:proofErr w:type="spellStart"/>
      <w:r w:rsidRPr="00CA0EFD">
        <w:t>ek</w:t>
      </w:r>
      <w:proofErr w:type="spellEnd"/>
      <w:r w:rsidRPr="00CA0EFD">
        <w:t xml:space="preserve">) a vonatkozó kimutatási határérték vagy a </w:t>
      </w:r>
      <w:proofErr w:type="spellStart"/>
      <w:r w:rsidRPr="00CA0EFD">
        <w:t>Codex</w:t>
      </w:r>
      <w:proofErr w:type="spellEnd"/>
      <w:r w:rsidRPr="00CA0EFD">
        <w:t xml:space="preserve"> </w:t>
      </w:r>
      <w:proofErr w:type="spellStart"/>
      <w:r w:rsidRPr="00CA0EFD">
        <w:t>Alimentarius</w:t>
      </w:r>
      <w:proofErr w:type="spellEnd"/>
      <w:r w:rsidRPr="00CA0EFD">
        <w:t xml:space="preserve"> Bizottság által megállapított MRL-</w:t>
      </w:r>
      <w:proofErr w:type="spellStart"/>
      <w:r w:rsidRPr="00CA0EFD">
        <w:t>ek</w:t>
      </w:r>
      <w:proofErr w:type="spellEnd"/>
      <w:r w:rsidRPr="00CA0EFD">
        <w:t xml:space="preserve"> alapján számított 0,01 mg/kg alapértelmezett MRL-értékek (azaz a </w:t>
      </w:r>
      <w:proofErr w:type="spellStart"/>
      <w:r w:rsidRPr="00CA0EFD">
        <w:t>Codex</w:t>
      </w:r>
      <w:proofErr w:type="spellEnd"/>
      <w:r w:rsidRPr="00CA0EFD">
        <w:t xml:space="preserve"> által meghatározott maximális szermaradék-határértékek, CXL-</w:t>
      </w:r>
      <w:proofErr w:type="spellStart"/>
      <w:r w:rsidRPr="00CA0EFD">
        <w:t>ek</w:t>
      </w:r>
      <w:proofErr w:type="spellEnd"/>
      <w:r w:rsidRPr="00CA0EFD">
        <w:t>) felett tartását javasolja;</w:t>
      </w:r>
    </w:p>
    <w:p w:rsidR="00580DEB" w:rsidRPr="00CA0EFD" w:rsidRDefault="00580DEB" w:rsidP="00FB2519">
      <w:pPr>
        <w:pStyle w:val="NormalHanging12a"/>
        <w:widowControl/>
      </w:pPr>
      <w:r w:rsidRPr="00CA0EFD">
        <w:t>K.</w:t>
      </w:r>
      <w:r w:rsidRPr="00CA0EFD">
        <w:tab/>
      </w:r>
      <w:proofErr w:type="gramStart"/>
      <w:r w:rsidRPr="00CA0EFD">
        <w:rPr>
          <w:color w:val="000000" w:themeColor="text1"/>
        </w:rPr>
        <w:t>mivel a Bizottság azt javasolja, hogy a legmagasabb megengedett szermaradék-határértékek (MRL-</w:t>
      </w:r>
      <w:proofErr w:type="spellStart"/>
      <w:r w:rsidRPr="00CA0EFD">
        <w:rPr>
          <w:color w:val="000000" w:themeColor="text1"/>
        </w:rPr>
        <w:t>eket</w:t>
      </w:r>
      <w:proofErr w:type="spellEnd"/>
      <w:r w:rsidRPr="00CA0EFD">
        <w:rPr>
          <w:color w:val="000000" w:themeColor="text1"/>
        </w:rPr>
        <w:t>) a hüvely nélküli borsó, bab, borsó, árpa, hajdina és más álgabonafélék, kukorica, közönséges köles/</w:t>
      </w:r>
      <w:proofErr w:type="spellStart"/>
      <w:r w:rsidRPr="00CA0EFD">
        <w:rPr>
          <w:color w:val="000000" w:themeColor="text1"/>
        </w:rPr>
        <w:t>proso</w:t>
      </w:r>
      <w:proofErr w:type="spellEnd"/>
      <w:r w:rsidRPr="00CA0EFD">
        <w:rPr>
          <w:color w:val="000000" w:themeColor="text1"/>
        </w:rPr>
        <w:t xml:space="preserve"> köles, zab, rozs, búza, kávébab és cukorrépagyökér, valamint sertés, szarvasmarha, juh, kecske és ló izom- és </w:t>
      </w:r>
      <w:proofErr w:type="spellStart"/>
      <w:r w:rsidRPr="00CA0EFD">
        <w:rPr>
          <w:color w:val="000000" w:themeColor="text1"/>
        </w:rPr>
        <w:t>zsírszövetei</w:t>
      </w:r>
      <w:proofErr w:type="spellEnd"/>
      <w:r w:rsidRPr="00CA0EFD">
        <w:rPr>
          <w:color w:val="000000" w:themeColor="text1"/>
        </w:rPr>
        <w:t xml:space="preserve">, baromfi izom-, zsír- és </w:t>
      </w:r>
      <w:proofErr w:type="spellStart"/>
      <w:r w:rsidRPr="00CA0EFD">
        <w:rPr>
          <w:color w:val="000000" w:themeColor="text1"/>
        </w:rPr>
        <w:t>májszövetei</w:t>
      </w:r>
      <w:proofErr w:type="spellEnd"/>
      <w:r w:rsidRPr="00CA0EFD">
        <w:rPr>
          <w:color w:val="000000" w:themeColor="text1"/>
        </w:rPr>
        <w:t>, szarvasmarha-, juh-, kecske- és lótej, valamint madártojás tekintetében a CXL-</w:t>
      </w:r>
      <w:proofErr w:type="spellStart"/>
      <w:r w:rsidRPr="00CA0EFD">
        <w:rPr>
          <w:color w:val="000000" w:themeColor="text1"/>
        </w:rPr>
        <w:t>ek</w:t>
      </w:r>
      <w:proofErr w:type="spellEnd"/>
      <w:r w:rsidRPr="00CA0EFD">
        <w:rPr>
          <w:color w:val="000000" w:themeColor="text1"/>
        </w:rPr>
        <w:t xml:space="preserve"> szintjén határozzák meg; mivel ez azt jelenti, hogy a sertés-, szarvasmarha-, juh-, kecske- és lómájra, illetve -vesére vonatkozó legmagasabb megengedett</w:t>
      </w:r>
      <w:proofErr w:type="gramEnd"/>
      <w:r w:rsidRPr="00CA0EFD">
        <w:rPr>
          <w:color w:val="000000" w:themeColor="text1"/>
        </w:rPr>
        <w:t xml:space="preserve"> szermaradék-határértékek (MRL-</w:t>
      </w:r>
      <w:proofErr w:type="spellStart"/>
      <w:r w:rsidRPr="00CA0EFD">
        <w:rPr>
          <w:color w:val="000000" w:themeColor="text1"/>
        </w:rPr>
        <w:t>ek</w:t>
      </w:r>
      <w:proofErr w:type="spellEnd"/>
      <w:r w:rsidRPr="00CA0EFD">
        <w:rPr>
          <w:color w:val="000000" w:themeColor="text1"/>
        </w:rPr>
        <w:t>) a jelenlegi 0,5 mg/kg szinten, a repcemagok/</w:t>
      </w:r>
      <w:proofErr w:type="spellStart"/>
      <w:r w:rsidRPr="00CA0EFD">
        <w:rPr>
          <w:color w:val="000000" w:themeColor="text1"/>
        </w:rPr>
        <w:t>kanolamagok</w:t>
      </w:r>
      <w:proofErr w:type="spellEnd"/>
      <w:r w:rsidRPr="00CA0EFD">
        <w:rPr>
          <w:color w:val="000000" w:themeColor="text1"/>
        </w:rPr>
        <w:t xml:space="preserve"> esetében 0,4 mg/kg szinten, a szójabab esetében pedig 0,07 mg/kg szinten maradnának; mivel minden más olyan termék esetében, amelyre nincsenek CXL-</w:t>
      </w:r>
      <w:proofErr w:type="spellStart"/>
      <w:r w:rsidRPr="00CA0EFD">
        <w:rPr>
          <w:color w:val="000000" w:themeColor="text1"/>
        </w:rPr>
        <w:t>ek</w:t>
      </w:r>
      <w:proofErr w:type="spellEnd"/>
      <w:r w:rsidRPr="00CA0EFD">
        <w:rPr>
          <w:color w:val="000000" w:themeColor="text1"/>
        </w:rPr>
        <w:t xml:space="preserve"> vagy </w:t>
      </w:r>
      <w:proofErr w:type="gramStart"/>
      <w:r w:rsidRPr="00CA0EFD">
        <w:rPr>
          <w:color w:val="000000" w:themeColor="text1"/>
        </w:rPr>
        <w:t>import</w:t>
      </w:r>
      <w:proofErr w:type="gramEnd"/>
      <w:r w:rsidRPr="00CA0EFD">
        <w:rPr>
          <w:color w:val="000000" w:themeColor="text1"/>
        </w:rPr>
        <w:t xml:space="preserve"> tűréshatárok, az MRL-</w:t>
      </w:r>
      <w:proofErr w:type="spellStart"/>
      <w:r w:rsidRPr="00CA0EFD">
        <w:rPr>
          <w:color w:val="000000" w:themeColor="text1"/>
        </w:rPr>
        <w:t>eket</w:t>
      </w:r>
      <w:proofErr w:type="spellEnd"/>
      <w:r w:rsidRPr="00CA0EFD">
        <w:rPr>
          <w:color w:val="000000" w:themeColor="text1"/>
        </w:rPr>
        <w:t xml:space="preserve"> 0,01 és 0,05 mg/kg közötti termékspecifikus meghatározási határértékekre csökkentik;</w:t>
      </w:r>
    </w:p>
    <w:p w:rsidR="00580DEB" w:rsidRPr="00CA0EFD" w:rsidRDefault="00580DEB" w:rsidP="00FB2519">
      <w:pPr>
        <w:pStyle w:val="NormalHanging12a"/>
        <w:widowControl/>
      </w:pPr>
      <w:r w:rsidRPr="00CA0EFD">
        <w:t>L.</w:t>
      </w:r>
      <w:r w:rsidRPr="00CA0EFD">
        <w:tab/>
        <w:t xml:space="preserve">mivel 2024-ben a Bizottság az 1B. </w:t>
      </w:r>
      <w:proofErr w:type="gramStart"/>
      <w:r w:rsidRPr="00CA0EFD">
        <w:t>kategóriába</w:t>
      </w:r>
      <w:proofErr w:type="gramEnd"/>
      <w:r w:rsidRPr="00CA0EFD">
        <w:t xml:space="preserve"> tartozó, reprodukciót károsító anyagként besorolt hatóanyag, a </w:t>
      </w:r>
      <w:proofErr w:type="spellStart"/>
      <w:r w:rsidRPr="00CA0EFD">
        <w:t>tiakloprid</w:t>
      </w:r>
      <w:proofErr w:type="spellEnd"/>
      <w:r w:rsidRPr="00CA0EFD">
        <w:t xml:space="preserve"> esetében az MRL-</w:t>
      </w:r>
      <w:proofErr w:type="spellStart"/>
      <w:r w:rsidRPr="00CA0EFD">
        <w:t>eket</w:t>
      </w:r>
      <w:proofErr w:type="spellEnd"/>
      <w:r w:rsidRPr="00CA0EFD">
        <w:t xml:space="preserve"> a vonatkozó kimutatási határértékek szintjére csökkentette, azzal érvelve, hogy „[az endokrin rendszerrel kapcsolatos hatásokra vonatkozó,] Hatóság általi kiegészítő kockázatértékelés lezárásáig, valamint az emberi egészségre gyakorolt potenciálisan káros hatásokkal kapcsolatban rendelkezésre álló releváns információkra tekintettel helyénvaló [e termékek esetében] az MRL-</w:t>
      </w:r>
      <w:proofErr w:type="spellStart"/>
      <w:r w:rsidRPr="00CA0EFD">
        <w:t>ek</w:t>
      </w:r>
      <w:proofErr w:type="spellEnd"/>
      <w:r w:rsidRPr="00CA0EFD">
        <w:t xml:space="preserve"> ideiglenes csökkentése”</w:t>
      </w:r>
      <w:r w:rsidRPr="00CA0EFD">
        <w:rPr>
          <w:rStyle w:val="FootnoteReference"/>
        </w:rPr>
        <w:footnoteReference w:id="15"/>
      </w:r>
      <w:r w:rsidRPr="00CA0EFD">
        <w:t>;</w:t>
      </w:r>
    </w:p>
    <w:p w:rsidR="00580DEB" w:rsidRPr="00CA0EFD" w:rsidRDefault="00580DEB" w:rsidP="00FB2519">
      <w:pPr>
        <w:pStyle w:val="NormalHanging12a"/>
        <w:widowControl/>
      </w:pPr>
      <w:r w:rsidRPr="00CA0EFD">
        <w:t>M.</w:t>
      </w:r>
      <w:r w:rsidRPr="00CA0EFD">
        <w:tab/>
        <w:t xml:space="preserve">mivel a 396/2005/EK rendelet (5) preambulumbekezdése előírja, hogy a maradékanyagok nem lehetnek jelen olyan mennyiségben, amely elfogadhatatlan kockázatot jelent az emberekre és adott esetben az állatokra nézve; </w:t>
      </w:r>
    </w:p>
    <w:p w:rsidR="00580DEB" w:rsidRPr="00CA0EFD" w:rsidRDefault="00580DEB" w:rsidP="00FB2519">
      <w:pPr>
        <w:pStyle w:val="NormalHanging12a"/>
        <w:widowControl/>
      </w:pPr>
      <w:r w:rsidRPr="00CA0EFD">
        <w:t>N.</w:t>
      </w:r>
      <w:r w:rsidRPr="00CA0EFD">
        <w:tab/>
      </w:r>
      <w:proofErr w:type="gramStart"/>
      <w:r w:rsidRPr="00CA0EFD">
        <w:t xml:space="preserve">mivel az 1107/2009/EK rendelet 4. cikke (2) bekezdése első </w:t>
      </w:r>
      <w:proofErr w:type="spellStart"/>
      <w:r w:rsidRPr="00CA0EFD">
        <w:t>albekezdésének</w:t>
      </w:r>
      <w:proofErr w:type="spellEnd"/>
      <w:r w:rsidRPr="00CA0EFD">
        <w:t xml:space="preserve"> a) pontja előírja, hogy a növényvédő szerek </w:t>
      </w:r>
      <w:proofErr w:type="spellStart"/>
      <w:r w:rsidRPr="00CA0EFD">
        <w:t>maradékanyagai</w:t>
      </w:r>
      <w:proofErr w:type="spellEnd"/>
      <w:r w:rsidRPr="00CA0EFD">
        <w:t xml:space="preserve"> – figyelembe véve az ismert halmozódó és </w:t>
      </w:r>
      <w:proofErr w:type="spellStart"/>
      <w:r w:rsidRPr="00CA0EFD">
        <w:t>szinergikus</w:t>
      </w:r>
      <w:proofErr w:type="spellEnd"/>
      <w:r w:rsidRPr="00CA0EFD">
        <w:t xml:space="preserve"> hatásokat – nem befolyásolhatják károsan az emberek, köztük </w:t>
      </w:r>
      <w:r w:rsidRPr="00CA0EFD">
        <w:lastRenderedPageBreak/>
        <w:t>a veszélyeztetett csoportok egészségét vagy az állatok egészségét; mivel az említett rendelet II. mellékletének 3.6.4. pontja úgy rendelkezik, hogy az 1272/2008/EK rendeletnek megfelelően 1A. vagy 1B. kategóriájú, reprodukciót károsító anyagként besorolt hatóanyag csak akkor hagyható jóvá, ha „az érintett hatóanyag élelmiszerekben és takarmányokban található</w:t>
      </w:r>
      <w:proofErr w:type="gramEnd"/>
      <w:r w:rsidRPr="00CA0EFD">
        <w:t xml:space="preserve"> </w:t>
      </w:r>
      <w:proofErr w:type="gramStart"/>
      <w:r w:rsidRPr="00CA0EFD">
        <w:t>szermaradékai</w:t>
      </w:r>
      <w:proofErr w:type="gramEnd"/>
      <w:r w:rsidRPr="00CA0EFD">
        <w:t xml:space="preserve"> nem haladják meg a 396/2005/EK rendelet 18. cikke (1) bekezdésének b) pontjával összhangban megállapított alapértelmezett értéket”; mivel a 396/2005/EK rendelet 18. cikke (1) bekezdésének b) pontja az alapértelmezett értéket 0,01 mg/kg-ban határozza meg;</w:t>
      </w:r>
    </w:p>
    <w:p w:rsidR="00580DEB" w:rsidRPr="00CA0EFD" w:rsidRDefault="00580DEB" w:rsidP="00FB2519">
      <w:pPr>
        <w:pStyle w:val="NormalHanging12a"/>
        <w:widowControl/>
      </w:pPr>
      <w:proofErr w:type="gramStart"/>
      <w:r w:rsidRPr="00CA0EFD">
        <w:t>O.</w:t>
      </w:r>
      <w:r w:rsidRPr="00CA0EFD">
        <w:tab/>
        <w:t>mivel a 396/2005/EK rendelet 3. cikke (2) bekezdésének g) pontja úgy rendelkezik, hogy az import tűréshatár az importált termékek tekintetében abban az esetben állapít meg MRL-</w:t>
      </w:r>
      <w:proofErr w:type="spellStart"/>
      <w:r w:rsidRPr="00CA0EFD">
        <w:t>eket</w:t>
      </w:r>
      <w:proofErr w:type="spellEnd"/>
      <w:r w:rsidRPr="00CA0EFD">
        <w:t xml:space="preserve">, ha „egy adott terméken előforduló növényvédő szerben található hatóanyag használata a Közösségen belül nem engedélyezett a közegészségügytől eltérő okokból az adott termék és használat tekintetében”; mivel a </w:t>
      </w:r>
      <w:proofErr w:type="spellStart"/>
      <w:r w:rsidRPr="00CA0EFD">
        <w:t>ciprokonazol</w:t>
      </w:r>
      <w:proofErr w:type="spellEnd"/>
      <w:r w:rsidRPr="00CA0EFD">
        <w:t xml:space="preserve"> nem felel meg ezeknek a kritériumoknak, mert egészségügyi okokból betiltották, tekintettel arra, hogy 1B. kategóriájú, reprodukciót károsító anyagként lett besorolva;</w:t>
      </w:r>
      <w:proofErr w:type="gramEnd"/>
    </w:p>
    <w:p w:rsidR="00580DEB" w:rsidRPr="00CA0EFD" w:rsidRDefault="00580DEB" w:rsidP="00FB2519">
      <w:pPr>
        <w:pStyle w:val="NormalHanging12a"/>
        <w:widowControl/>
      </w:pPr>
      <w:r w:rsidRPr="00CA0EFD">
        <w:t>P.</w:t>
      </w:r>
      <w:r w:rsidRPr="00CA0EFD">
        <w:tab/>
        <w:t>mivel a 178/2002/EK rendelet 5. cikkének (1) bekezdése értelmében az élelmiszerjognak az emberi élet és egészség magas szintű védelmének és a fogyasztói érdekek védelmének egy vagy több általános célját kell szolgálnia, beleértve az élelmiszer-kereskedelem tisztességes gyakorlatának érvényesítését; ennek során lehetőség szerint tekintettel kell lenni az állatok egészségének és jóllétének védelmére, valamint a növények egészségének és a környezetnek a védelmére;</w:t>
      </w:r>
    </w:p>
    <w:p w:rsidR="00580DEB" w:rsidRPr="00CA0EFD" w:rsidRDefault="00580DEB" w:rsidP="00FB2519">
      <w:pPr>
        <w:pStyle w:val="NormalHanging12a"/>
        <w:widowControl/>
      </w:pPr>
      <w:r w:rsidRPr="00CA0EFD">
        <w:t>Q.</w:t>
      </w:r>
      <w:r w:rsidRPr="00CA0EFD">
        <w:tab/>
      </w:r>
      <w:proofErr w:type="gramStart"/>
      <w:r w:rsidRPr="00CA0EFD">
        <w:t>mivel a Bizottság „A »termelőtől a fogyasztóig« stratégia a méltányos, egészséges és környezetbarát élelmiszerrendszerért” című, 2020. május 20-i közleményében</w:t>
      </w:r>
      <w:r w:rsidRPr="00CA0EFD">
        <w:rPr>
          <w:rStyle w:val="FootnoteReference"/>
        </w:rPr>
        <w:footnoteReference w:id="16"/>
      </w:r>
      <w:r w:rsidRPr="00CA0EFD">
        <w:t xml:space="preserve"> bejelentette, hogy az „EU – e stratégia célkitűzéseivel és a fenntartható fejlődési célokkal összhangban – támogatni fogja a fenntartható agrár-élelmiszeripari rendszerekre való globális átállást”, és hogy „[e] stratégia révén az EU kulcsszerepet játszhat abban, hogy globális normákat határozzon meg”; mivel a Bizottság a stratégiában kifejezetten kijelentette, hogy „[a] fenntarthatóbb uniós élelmiszerrendszerhez kereskedelmi partnereink</w:t>
      </w:r>
      <w:proofErr w:type="gramEnd"/>
      <w:r w:rsidRPr="00CA0EFD">
        <w:t xml:space="preserve"> </w:t>
      </w:r>
      <w:proofErr w:type="gramStart"/>
      <w:r w:rsidRPr="00CA0EFD">
        <w:t>részéről</w:t>
      </w:r>
      <w:proofErr w:type="gramEnd"/>
      <w:r w:rsidRPr="00CA0EFD">
        <w:t xml:space="preserve"> is egyre fenntarthatóbb gyakorlatokra van szükség. A biztonságosabb növényvédő szerek használata felé való fokozatos elmozdulás előmozdítása érdekében az EU – a WTO-szabályokkal összhangban és kockázatértékelést követően – fontolóra veszi a kizárási </w:t>
      </w:r>
      <w:proofErr w:type="gramStart"/>
      <w:r w:rsidRPr="00CA0EFD">
        <w:t>kritériumoknak</w:t>
      </w:r>
      <w:proofErr w:type="gramEnd"/>
      <w:r w:rsidRPr="00CA0EFD">
        <w:t xml:space="preserve"> megfelelő és az emberi egészségre nagy kockázatot jelentő anyagokra vonatkozó import tűréshatárok felülvizsgálatát.”</w:t>
      </w:r>
    </w:p>
    <w:p w:rsidR="00580DEB" w:rsidRPr="00CA0EFD" w:rsidRDefault="00580DEB" w:rsidP="00FB2519">
      <w:pPr>
        <w:pStyle w:val="NormalHanging12a"/>
        <w:widowControl/>
      </w:pPr>
      <w:r w:rsidRPr="00CA0EFD">
        <w:t>R.</w:t>
      </w:r>
      <w:r w:rsidRPr="00CA0EFD">
        <w:tab/>
        <w:t>mivel a magas MRL-</w:t>
      </w:r>
      <w:proofErr w:type="spellStart"/>
      <w:r w:rsidRPr="00CA0EFD">
        <w:t>ek</w:t>
      </w:r>
      <w:proofErr w:type="spellEnd"/>
      <w:r w:rsidRPr="00CA0EFD">
        <w:t xml:space="preserve"> megállapításának gyakorlata kettős mércét alkalmaz az uniós és a harmadik országbeli mezőgazdasági termelők viszonylatában, ugyanis a nem uniós mezőgazdasági termelők az érintett élelmiszereket továbbra is </w:t>
      </w:r>
      <w:proofErr w:type="spellStart"/>
      <w:r w:rsidRPr="00CA0EFD">
        <w:t>ciprokonazol</w:t>
      </w:r>
      <w:proofErr w:type="spellEnd"/>
      <w:r w:rsidRPr="00CA0EFD">
        <w:t xml:space="preserve"> felhasználásával állíthatják elő és </w:t>
      </w:r>
      <w:proofErr w:type="gramStart"/>
      <w:r w:rsidRPr="00CA0EFD">
        <w:t>exportálhatják</w:t>
      </w:r>
      <w:proofErr w:type="gramEnd"/>
      <w:r w:rsidRPr="00CA0EFD">
        <w:t xml:space="preserve"> az Unióba, ez pedig versenyhátrányba hozza az uniós mezőgazdasági termelőket; mivel másrészről e </w:t>
      </w:r>
      <w:proofErr w:type="spellStart"/>
      <w:r w:rsidRPr="00CA0EFD">
        <w:t>peszticid</w:t>
      </w:r>
      <w:proofErr w:type="spellEnd"/>
      <w:r w:rsidRPr="00CA0EFD">
        <w:t xml:space="preserve"> használata veszélyezteti a mezőgazdasági dolgozók egészségét, a lakosság egészségét, továbbá a környezetet a termelő országokban;</w:t>
      </w:r>
    </w:p>
    <w:p w:rsidR="00580DEB" w:rsidRPr="00CA0EFD" w:rsidRDefault="00580DEB" w:rsidP="00FB2519">
      <w:pPr>
        <w:pStyle w:val="NormalHanging12a"/>
        <w:widowControl/>
      </w:pPr>
      <w:r w:rsidRPr="00CA0EFD">
        <w:t>S.</w:t>
      </w:r>
      <w:r w:rsidRPr="00CA0EFD">
        <w:tab/>
      </w:r>
      <w:proofErr w:type="gramStart"/>
      <w:r w:rsidRPr="00CA0EFD">
        <w:t>mivel</w:t>
      </w:r>
      <w:proofErr w:type="gramEnd"/>
      <w:r w:rsidRPr="00CA0EFD">
        <w:t xml:space="preserve"> az EUMSZ 191. cikkének (2) bekezdése az Unió egyik alapelveként határozza meg az elővigyázatosság elvét;</w:t>
      </w:r>
    </w:p>
    <w:p w:rsidR="00580DEB" w:rsidRPr="00CA0EFD" w:rsidRDefault="00580DEB" w:rsidP="00FB2519">
      <w:pPr>
        <w:pStyle w:val="NormalHanging12a"/>
        <w:widowControl/>
      </w:pPr>
      <w:r w:rsidRPr="00CA0EFD">
        <w:lastRenderedPageBreak/>
        <w:t>T.</w:t>
      </w:r>
      <w:r w:rsidRPr="00CA0EFD">
        <w:tab/>
        <w:t xml:space="preserve">mivel a Bizottságnak a rendelkezésre álló tudományos </w:t>
      </w:r>
      <w:proofErr w:type="gramStart"/>
      <w:r w:rsidRPr="00CA0EFD">
        <w:t>információk</w:t>
      </w:r>
      <w:proofErr w:type="gramEnd"/>
      <w:r w:rsidRPr="00CA0EFD">
        <w:t xml:space="preserve"> alapján védenie kell a környezetet és az uniós polgárokat, kihasználva azokat a kötelezettségeket és jogi lehetőségeket, amelyeket a 396/2005/EK rendelet és a 178/2002/EK rendelet ír elő az emberi és állati egészség, valamint a környezet magas szintű védelmének biztosítása érdekében;</w:t>
      </w:r>
    </w:p>
    <w:p w:rsidR="00580DEB" w:rsidRPr="00CA0EFD" w:rsidRDefault="00580DEB" w:rsidP="00FB2519">
      <w:pPr>
        <w:pStyle w:val="NormalHanging12a"/>
        <w:widowControl/>
      </w:pPr>
      <w:r w:rsidRPr="00CA0EFD">
        <w:t>U.</w:t>
      </w:r>
      <w:r w:rsidRPr="00CA0EFD">
        <w:tab/>
        <w:t>mivel a javasolt MRL-</w:t>
      </w:r>
      <w:proofErr w:type="spellStart"/>
      <w:r w:rsidRPr="00CA0EFD">
        <w:t>ek</w:t>
      </w:r>
      <w:proofErr w:type="spellEnd"/>
      <w:r w:rsidRPr="00CA0EFD">
        <w:t xml:space="preserve"> nem védik az európai polgárok egészségét, és ezért ellentétesek a 396/2005/EK és a 178/2002/EK rendelettel;</w:t>
      </w:r>
    </w:p>
    <w:p w:rsidR="00580DEB" w:rsidRPr="00CA0EFD" w:rsidRDefault="00580DEB" w:rsidP="00FB2519">
      <w:pPr>
        <w:pStyle w:val="NormalHanging12a"/>
        <w:widowControl/>
      </w:pPr>
      <w:r w:rsidRPr="00CA0EFD">
        <w:t>V.</w:t>
      </w:r>
      <w:r w:rsidRPr="00CA0EFD">
        <w:tab/>
        <w:t>mivel nem indokolt MRL-</w:t>
      </w:r>
      <w:proofErr w:type="spellStart"/>
      <w:r w:rsidRPr="00CA0EFD">
        <w:t>eket</w:t>
      </w:r>
      <w:proofErr w:type="spellEnd"/>
      <w:r w:rsidRPr="00CA0EFD">
        <w:t xml:space="preserve"> megállapítani azokra a hatóanyagokra, amelyeket egészségügyi okokból nem hagytak jóvá az Unióban; mivel ezért a vonatkozó kimutatási határértéket vagy a 0,01 mg/kg alapértelmezett értéket meghaladó CXL-</w:t>
      </w:r>
      <w:proofErr w:type="spellStart"/>
      <w:r w:rsidRPr="00CA0EFD">
        <w:t>ek</w:t>
      </w:r>
      <w:proofErr w:type="spellEnd"/>
      <w:r w:rsidRPr="00CA0EFD">
        <w:t xml:space="preserve"> nem tekinthetők biztonságosnak a fogyasztók számára, mivel a </w:t>
      </w:r>
      <w:proofErr w:type="spellStart"/>
      <w:r w:rsidRPr="00CA0EFD">
        <w:t>ciprokonazol</w:t>
      </w:r>
      <w:proofErr w:type="spellEnd"/>
      <w:r w:rsidRPr="00CA0EFD">
        <w:t xml:space="preserve"> 1B. </w:t>
      </w:r>
      <w:proofErr w:type="gramStart"/>
      <w:r w:rsidRPr="00CA0EFD">
        <w:t>kategóriájú</w:t>
      </w:r>
      <w:proofErr w:type="gramEnd"/>
      <w:r w:rsidRPr="00CA0EFD">
        <w:t>, reprodukciót károsító anyagként van besorolva;</w:t>
      </w:r>
    </w:p>
    <w:p w:rsidR="00580DEB" w:rsidRPr="00CA0EFD" w:rsidRDefault="00580DEB" w:rsidP="00FB2519">
      <w:pPr>
        <w:pStyle w:val="NormalHanging12a"/>
        <w:widowControl/>
      </w:pPr>
      <w:r w:rsidRPr="00CA0EFD">
        <w:t>W.</w:t>
      </w:r>
      <w:r w:rsidRPr="00CA0EFD">
        <w:tab/>
        <w:t xml:space="preserve"> mivel az MRL-</w:t>
      </w:r>
      <w:proofErr w:type="spellStart"/>
      <w:r w:rsidRPr="00CA0EFD">
        <w:t>ek</w:t>
      </w:r>
      <w:proofErr w:type="spellEnd"/>
      <w:r w:rsidRPr="00CA0EFD">
        <w:t xml:space="preserve"> meghatározásakor figyelembe kell venni a </w:t>
      </w:r>
      <w:proofErr w:type="gramStart"/>
      <w:r w:rsidRPr="00CA0EFD">
        <w:t>kumulatív</w:t>
      </w:r>
      <w:proofErr w:type="gramEnd"/>
      <w:r w:rsidRPr="00CA0EFD">
        <w:t xml:space="preserve"> és </w:t>
      </w:r>
      <w:proofErr w:type="spellStart"/>
      <w:r w:rsidRPr="00CA0EFD">
        <w:t>szinergikus</w:t>
      </w:r>
      <w:proofErr w:type="spellEnd"/>
      <w:r w:rsidRPr="00CA0EFD">
        <w:t xml:space="preserve"> hatásokat, és ennek értékeléséhez rendkívül fontos sürgősen felgyorsítani a megfelelő módszerek kidolgozását;</w:t>
      </w:r>
    </w:p>
    <w:p w:rsidR="00580DEB" w:rsidRPr="00CA0EFD" w:rsidRDefault="00580DEB" w:rsidP="00FB2519">
      <w:pPr>
        <w:pStyle w:val="NormalHanging12a"/>
        <w:widowControl/>
      </w:pPr>
      <w:r w:rsidRPr="00CA0EFD">
        <w:t>1.</w:t>
      </w:r>
      <w:r w:rsidRPr="00CA0EFD">
        <w:tab/>
      </w:r>
      <w:proofErr w:type="spellStart"/>
      <w:r w:rsidRPr="00CA0EFD">
        <w:t>ellenzi</w:t>
      </w:r>
      <w:proofErr w:type="spellEnd"/>
      <w:r w:rsidRPr="00CA0EFD">
        <w:t xml:space="preserve"> a bizottsági rendelet tervezetének elfogadását;</w:t>
      </w:r>
    </w:p>
    <w:p w:rsidR="00580DEB" w:rsidRPr="00CA0EFD" w:rsidRDefault="00580DEB" w:rsidP="00FB2519">
      <w:pPr>
        <w:pStyle w:val="NormalHanging12a"/>
        <w:widowControl/>
        <w:rPr>
          <w:szCs w:val="24"/>
        </w:rPr>
      </w:pPr>
      <w:r w:rsidRPr="00CA0EFD">
        <w:t>2.</w:t>
      </w:r>
      <w:r w:rsidRPr="00CA0EFD">
        <w:tab/>
        <w:t xml:space="preserve">úgy véli, hogy a bizottsági rendelet tervezete nem egyeztethető össze </w:t>
      </w:r>
      <w:r w:rsidR="00870F42">
        <w:t xml:space="preserve">sem </w:t>
      </w:r>
      <w:r w:rsidRPr="00CA0EFD">
        <w:t>a 396/2005/EK és a 178/2002/EK rendelet céljával és tartalmával, sem az 1107/2009/EK rendelettel, többek között annak II. melléklete 3.6.4</w:t>
      </w:r>
      <w:r w:rsidR="00870F42">
        <w:t>.</w:t>
      </w:r>
      <w:r w:rsidRPr="00CA0EFD">
        <w:t xml:space="preserve"> pontjával;</w:t>
      </w:r>
    </w:p>
    <w:p w:rsidR="00580DEB" w:rsidRPr="00CA0EFD" w:rsidRDefault="00580DEB" w:rsidP="00FB2519">
      <w:pPr>
        <w:pStyle w:val="NormalHanging12a"/>
        <w:widowControl/>
      </w:pPr>
      <w:r w:rsidRPr="00CA0EFD">
        <w:t>3.</w:t>
      </w:r>
      <w:r w:rsidRPr="00CA0EFD">
        <w:tab/>
        <w:t>felkéri a Bizottságot, hogy alkalmazza az elővigyázatosság elvét, vonja vissza a rendelete tervezetét és nyújtson be új tervezetet a bizottságnak;</w:t>
      </w:r>
    </w:p>
    <w:p w:rsidR="00580DEB" w:rsidRPr="00CA0EFD" w:rsidRDefault="00580DEB" w:rsidP="00FB2519">
      <w:pPr>
        <w:pStyle w:val="NormalHanging12a"/>
        <w:widowControl/>
      </w:pPr>
      <w:r w:rsidRPr="00CA0EFD">
        <w:t>4.</w:t>
      </w:r>
      <w:r w:rsidRPr="00CA0EFD">
        <w:tab/>
        <w:t xml:space="preserve">felhívja a Bizottságot, hogy nyújtson be új rendelettervezetet a bizottságnak, amely a </w:t>
      </w:r>
      <w:proofErr w:type="spellStart"/>
      <w:r w:rsidRPr="00CA0EFD">
        <w:t>ciprokonazolra</w:t>
      </w:r>
      <w:proofErr w:type="spellEnd"/>
      <w:r w:rsidRPr="00CA0EFD">
        <w:t xml:space="preserve"> vonatkozó összes MRL-t valamennyi felhasználás tekintetében a meghatározási korlátra vagy az alapértelmezett 0,01 mg/kg értékre csökkenti, és utasítson el minden, az </w:t>
      </w:r>
      <w:proofErr w:type="gramStart"/>
      <w:r w:rsidRPr="00CA0EFD">
        <w:t>import</w:t>
      </w:r>
      <w:proofErr w:type="gramEnd"/>
      <w:r w:rsidRPr="00CA0EFD">
        <w:t xml:space="preserve"> tűréshatárokra vonatkozó kérelmet;</w:t>
      </w:r>
    </w:p>
    <w:p w:rsidR="00580DEB" w:rsidRPr="00CA0EFD" w:rsidRDefault="00580DEB" w:rsidP="00FB2519">
      <w:pPr>
        <w:pStyle w:val="NormalHanging12a"/>
        <w:widowControl/>
      </w:pPr>
      <w:r w:rsidRPr="00CA0EFD">
        <w:t>5.</w:t>
      </w:r>
      <w:r w:rsidRPr="00CA0EFD">
        <w:tab/>
        <w:t xml:space="preserve">elismeri az EFSA által a </w:t>
      </w:r>
      <w:proofErr w:type="gramStart"/>
      <w:r w:rsidRPr="00CA0EFD">
        <w:t>kumulatív</w:t>
      </w:r>
      <w:proofErr w:type="gramEnd"/>
      <w:r w:rsidRPr="00CA0EFD">
        <w:t xml:space="preserve"> kockázatok értékelésének módszerei kapcsán végzett munkát, </w:t>
      </w:r>
      <w:proofErr w:type="spellStart"/>
      <w:r w:rsidRPr="00CA0EFD">
        <w:t>megjegyzi</w:t>
      </w:r>
      <w:proofErr w:type="spellEnd"/>
      <w:r w:rsidRPr="00CA0EFD">
        <w:t xml:space="preserve"> azonban, hogy a </w:t>
      </w:r>
      <w:proofErr w:type="spellStart"/>
      <w:r w:rsidRPr="00CA0EFD">
        <w:t>peszticidek</w:t>
      </w:r>
      <w:proofErr w:type="spellEnd"/>
      <w:r w:rsidRPr="00CA0EFD">
        <w:t xml:space="preserve"> és a szermaradékok kumulatív hatásainak értékelése évtizedek óta ismert probléma; ezért kéri az EFSA-t és a Bizottságot, hogy a legnagyobb sürgősséggel foglalkozzanak a problémával;</w:t>
      </w:r>
    </w:p>
    <w:p w:rsidR="00580DEB" w:rsidRPr="00CA0EFD" w:rsidRDefault="00580DEB" w:rsidP="00FB2519">
      <w:pPr>
        <w:pStyle w:val="NormalHanging12a"/>
        <w:widowControl/>
      </w:pPr>
      <w:r w:rsidRPr="00CA0EFD">
        <w:t>6.</w:t>
      </w:r>
      <w:r w:rsidRPr="00CA0EFD">
        <w:tab/>
        <w:t xml:space="preserve">utasítja elnökét, hogy továbbítsa ezt az állásfoglalást a Tanácsnak és a Bizottságnak, valamint a tagállamok kormányainak és parlamentjeinek. </w:t>
      </w:r>
    </w:p>
    <w:sectPr w:rsidR="00580DEB" w:rsidRPr="00CA0EFD" w:rsidSect="00CA0E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5529" w:rsidRPr="00CA0EFD" w:rsidRDefault="00295529">
      <w:r w:rsidRPr="00CA0EFD">
        <w:separator/>
      </w:r>
    </w:p>
  </w:endnote>
  <w:endnote w:type="continuationSeparator" w:id="0">
    <w:p w:rsidR="00295529" w:rsidRPr="00CA0EFD" w:rsidRDefault="00295529">
      <w:r w:rsidRPr="00CA0E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5529" w:rsidRPr="00CA0EFD" w:rsidRDefault="00295529">
      <w:r w:rsidRPr="00CA0EFD">
        <w:separator/>
      </w:r>
    </w:p>
  </w:footnote>
  <w:footnote w:type="continuationSeparator" w:id="0">
    <w:p w:rsidR="00295529" w:rsidRPr="00CA0EFD" w:rsidRDefault="00295529">
      <w:r w:rsidRPr="00CA0EFD">
        <w:continuationSeparator/>
      </w:r>
    </w:p>
  </w:footnote>
  <w:footnote w:id="1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>HL L 70., 2005.3.16</w:t>
      </w:r>
      <w:proofErr w:type="gramStart"/>
      <w:r w:rsidRPr="00CA0EFD">
        <w:rPr>
          <w:sz w:val="24"/>
          <w:lang w:val="hu-HU"/>
        </w:rPr>
        <w:t>.,</w:t>
      </w:r>
      <w:proofErr w:type="gramEnd"/>
      <w:r w:rsidRPr="00CA0EFD">
        <w:rPr>
          <w:sz w:val="24"/>
          <w:lang w:val="hu-HU"/>
        </w:rPr>
        <w:t xml:space="preserve"> 1. o.</w:t>
      </w:r>
    </w:p>
  </w:footnote>
  <w:footnote w:id="2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>HL L 309., 2009.11.24</w:t>
      </w:r>
      <w:proofErr w:type="gramStart"/>
      <w:r w:rsidRPr="00CA0EFD">
        <w:rPr>
          <w:sz w:val="24"/>
          <w:lang w:val="hu-HU"/>
        </w:rPr>
        <w:t>.,</w:t>
      </w:r>
      <w:proofErr w:type="gramEnd"/>
      <w:r w:rsidRPr="00CA0EFD">
        <w:rPr>
          <w:sz w:val="24"/>
          <w:lang w:val="hu-HU"/>
        </w:rPr>
        <w:t xml:space="preserve"> 1. o.</w:t>
      </w:r>
    </w:p>
  </w:footnote>
  <w:footnote w:id="3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>HL L 31</w:t>
      </w:r>
      <w:proofErr w:type="gramStart"/>
      <w:r w:rsidRPr="00CA0EFD">
        <w:rPr>
          <w:sz w:val="24"/>
          <w:lang w:val="hu-HU"/>
        </w:rPr>
        <w:t>.,</w:t>
      </w:r>
      <w:proofErr w:type="gramEnd"/>
      <w:r w:rsidRPr="00CA0EFD">
        <w:rPr>
          <w:sz w:val="24"/>
          <w:lang w:val="hu-HU"/>
        </w:rPr>
        <w:t xml:space="preserve"> 2002.2.1., 1. o.</w:t>
      </w:r>
    </w:p>
  </w:footnote>
  <w:footnote w:id="4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Az EFSA indokolással ellátott véleménye a </w:t>
      </w:r>
      <w:proofErr w:type="spellStart"/>
      <w:r w:rsidRPr="00CA0EFD">
        <w:rPr>
          <w:sz w:val="24"/>
          <w:lang w:val="hu-HU"/>
        </w:rPr>
        <w:t>ciprokonazol</w:t>
      </w:r>
      <w:proofErr w:type="spellEnd"/>
      <w:r w:rsidRPr="00CA0EFD">
        <w:rPr>
          <w:sz w:val="24"/>
          <w:lang w:val="hu-HU"/>
        </w:rPr>
        <w:t xml:space="preserve"> szermaradék-határértékeinek a 396/2005/EK rendelet 12. cikke szerinti felülvizsgálatáról, EFSA Journal 2021</w:t>
      </w:r>
      <w:proofErr w:type="gramStart"/>
      <w:r w:rsidRPr="00CA0EFD">
        <w:rPr>
          <w:sz w:val="24"/>
          <w:lang w:val="hu-HU"/>
        </w:rPr>
        <w:t>;19</w:t>
      </w:r>
      <w:proofErr w:type="gramEnd"/>
      <w:r w:rsidRPr="00CA0EFD">
        <w:rPr>
          <w:sz w:val="24"/>
          <w:lang w:val="hu-HU"/>
        </w:rPr>
        <w:t xml:space="preserve">(3):e06483, </w:t>
      </w:r>
      <w:hyperlink r:id="rId1" w:history="1">
        <w:r w:rsidRPr="00CA0EFD">
          <w:rPr>
            <w:rStyle w:val="Hyperlink"/>
            <w:sz w:val="24"/>
            <w:lang w:val="hu-HU"/>
          </w:rPr>
          <w:t>https://doi.org/10.2903/j.efsa.2021.6483</w:t>
        </w:r>
      </w:hyperlink>
      <w:r w:rsidRPr="00CA0EFD">
        <w:rPr>
          <w:sz w:val="24"/>
          <w:lang w:val="hu-HU"/>
        </w:rPr>
        <w:t>.</w:t>
      </w:r>
    </w:p>
  </w:footnote>
  <w:footnote w:id="5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EFSA </w:t>
      </w:r>
      <w:proofErr w:type="spellStart"/>
      <w:r w:rsidRPr="00CA0EFD">
        <w:rPr>
          <w:sz w:val="24"/>
          <w:lang w:val="hu-HU"/>
        </w:rPr>
        <w:t>Conclusion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on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the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peer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review</w:t>
      </w:r>
      <w:proofErr w:type="spellEnd"/>
      <w:r w:rsidRPr="00CA0EFD">
        <w:rPr>
          <w:sz w:val="24"/>
          <w:lang w:val="hu-HU"/>
        </w:rPr>
        <w:t xml:space="preserve"> of </w:t>
      </w:r>
      <w:proofErr w:type="spellStart"/>
      <w:r w:rsidRPr="00CA0EFD">
        <w:rPr>
          <w:sz w:val="24"/>
          <w:lang w:val="hu-HU"/>
        </w:rPr>
        <w:t>the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pesticide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risk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assessment</w:t>
      </w:r>
      <w:proofErr w:type="spellEnd"/>
      <w:r w:rsidRPr="00CA0EFD">
        <w:rPr>
          <w:sz w:val="24"/>
          <w:lang w:val="hu-HU"/>
        </w:rPr>
        <w:t xml:space="preserve"> of </w:t>
      </w:r>
      <w:proofErr w:type="spellStart"/>
      <w:r w:rsidRPr="00CA0EFD">
        <w:rPr>
          <w:sz w:val="24"/>
          <w:lang w:val="hu-HU"/>
        </w:rPr>
        <w:t>the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active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substance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cyproconazole</w:t>
      </w:r>
      <w:proofErr w:type="spellEnd"/>
      <w:r w:rsidRPr="00CA0EFD">
        <w:rPr>
          <w:sz w:val="24"/>
          <w:lang w:val="hu-HU"/>
        </w:rPr>
        <w:t xml:space="preserve"> (A </w:t>
      </w:r>
      <w:proofErr w:type="spellStart"/>
      <w:r w:rsidRPr="00CA0EFD">
        <w:rPr>
          <w:sz w:val="24"/>
          <w:lang w:val="hu-HU"/>
        </w:rPr>
        <w:t>ciprokonazol</w:t>
      </w:r>
      <w:proofErr w:type="spellEnd"/>
      <w:r w:rsidRPr="00CA0EFD">
        <w:rPr>
          <w:sz w:val="24"/>
          <w:lang w:val="hu-HU"/>
        </w:rPr>
        <w:t xml:space="preserve"> hatóanyagú növényvédő szereknél felmerülő kockázatok értékelésének szakmai vizsgálatából levont következtetés), EFSA Journal 2010</w:t>
      </w:r>
      <w:proofErr w:type="gramStart"/>
      <w:r w:rsidRPr="00CA0EFD">
        <w:rPr>
          <w:sz w:val="24"/>
          <w:lang w:val="hu-HU"/>
        </w:rPr>
        <w:t>;8</w:t>
      </w:r>
      <w:proofErr w:type="gramEnd"/>
      <w:r w:rsidRPr="00CA0EFD">
        <w:rPr>
          <w:sz w:val="24"/>
          <w:lang w:val="hu-HU"/>
        </w:rPr>
        <w:t xml:space="preserve">(11):1897, </w:t>
      </w:r>
      <w:hyperlink r:id="rId2" w:history="1">
        <w:r w:rsidRPr="00CA0EFD">
          <w:rPr>
            <w:rStyle w:val="Hyperlink"/>
            <w:sz w:val="24"/>
            <w:lang w:val="hu-HU"/>
          </w:rPr>
          <w:t>https://doi.org/10.2903/j.efsa.2010.1897</w:t>
        </w:r>
      </w:hyperlink>
      <w:r w:rsidR="00FB2519">
        <w:rPr>
          <w:rStyle w:val="Hyperlink"/>
          <w:sz w:val="24"/>
          <w:lang w:val="hu-HU"/>
        </w:rPr>
        <w:t>.</w:t>
      </w:r>
    </w:p>
  </w:footnote>
  <w:footnote w:id="6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A kockázatértékelési bizottság véleménye, amely a </w:t>
      </w:r>
      <w:proofErr w:type="spellStart"/>
      <w:r w:rsidRPr="00CA0EFD">
        <w:rPr>
          <w:sz w:val="24"/>
          <w:lang w:val="hu-HU"/>
        </w:rPr>
        <w:t>ciprokonazol</w:t>
      </w:r>
      <w:proofErr w:type="spellEnd"/>
      <w:r w:rsidRPr="00CA0EFD">
        <w:rPr>
          <w:sz w:val="24"/>
          <w:lang w:val="hu-HU"/>
        </w:rPr>
        <w:t xml:space="preserve"> uniós szintű harmonizált osztályozását és címkézését javasolja (ISO); (2RS,3RS</w:t>
      </w:r>
      <w:proofErr w:type="gramStart"/>
      <w:r w:rsidRPr="00CA0EFD">
        <w:rPr>
          <w:sz w:val="24"/>
          <w:lang w:val="hu-HU"/>
        </w:rPr>
        <w:t>;2RS</w:t>
      </w:r>
      <w:proofErr w:type="gramEnd"/>
      <w:r w:rsidRPr="00CA0EFD">
        <w:rPr>
          <w:sz w:val="24"/>
          <w:lang w:val="hu-HU"/>
        </w:rPr>
        <w:t xml:space="preserve">,3SR)-2-(4-klórfenil)-3-ciklopropil-1-(1H-1,2,4-trizol-1-il)bután-2-ol, </w:t>
      </w:r>
      <w:hyperlink r:id="rId3" w:history="1">
        <w:r w:rsidRPr="00CA0EFD">
          <w:rPr>
            <w:rStyle w:val="Hyperlink"/>
            <w:sz w:val="24"/>
            <w:lang w:val="hu-HU"/>
          </w:rPr>
          <w:t>https://echa.europa.eu/documents/10162/6d98baeb-24aa-a683-28ec-d8adabee5461</w:t>
        </w:r>
      </w:hyperlink>
      <w:r w:rsidR="00FB2519">
        <w:rPr>
          <w:rStyle w:val="Hyperlink"/>
          <w:sz w:val="24"/>
          <w:lang w:val="hu-HU"/>
        </w:rPr>
        <w:t>.</w:t>
      </w:r>
    </w:p>
  </w:footnote>
  <w:footnote w:id="7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>HL L 184., 1999.7.17</w:t>
      </w:r>
      <w:proofErr w:type="gramStart"/>
      <w:r w:rsidRPr="00CA0EFD">
        <w:rPr>
          <w:sz w:val="24"/>
          <w:lang w:val="hu-HU"/>
        </w:rPr>
        <w:t>.,</w:t>
      </w:r>
      <w:proofErr w:type="gramEnd"/>
      <w:r w:rsidRPr="00CA0EFD">
        <w:rPr>
          <w:sz w:val="24"/>
          <w:lang w:val="hu-HU"/>
        </w:rPr>
        <w:t xml:space="preserve"> 23. o.</w:t>
      </w:r>
    </w:p>
  </w:footnote>
  <w:footnote w:id="8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proofErr w:type="gramStart"/>
      <w:r w:rsidRPr="00CA0EFD">
        <w:rPr>
          <w:sz w:val="24"/>
          <w:lang w:val="hu-HU"/>
        </w:rPr>
        <w:t>Az Európai Parlament és a Tanács 1272/2008/EK rendelete (2008. december 16.) az anyagok és keverékek osztályozásáról, címkézéséről és csomagolásáról, a 67/548/EGK és az 1999/45/EK irányelv módosításáról és hatályon kívül helyezéséről, valamint az 1907/2006/EK rendelet módosításáról (HL L 353., 2008.12.31., 1. o.).</w:t>
      </w:r>
      <w:proofErr w:type="gramEnd"/>
    </w:p>
  </w:footnote>
  <w:footnote w:id="9">
    <w:p w:rsidR="00580DEB" w:rsidRPr="00CA0EFD" w:rsidRDefault="00580DEB" w:rsidP="00CA0EFD">
      <w:pPr>
        <w:pStyle w:val="FootnoteText"/>
        <w:ind w:left="567" w:hanging="567"/>
        <w:rPr>
          <w:sz w:val="24"/>
          <w:highlight w:val="magenta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="00EF058B">
        <w:fldChar w:fldCharType="begin"/>
      </w:r>
      <w:r w:rsidR="00EF058B" w:rsidRPr="00EF058B">
        <w:rPr>
          <w:lang w:val="hu-HU"/>
        </w:rPr>
        <w:instrText xml:space="preserve"> HYPERLINK "https://www.echa.europa.eu/substance-information/-/substanceinfo/100.130.443" </w:instrText>
      </w:r>
      <w:r w:rsidR="00EF058B">
        <w:fldChar w:fldCharType="separate"/>
      </w:r>
      <w:r w:rsidRPr="00CA0EFD">
        <w:rPr>
          <w:rStyle w:val="Hyperlink"/>
          <w:sz w:val="24"/>
          <w:lang w:val="hu-HU"/>
        </w:rPr>
        <w:t>https://www.echa.europa.eu/substance-information/-/substanceinfo/100.130.443</w:t>
      </w:r>
      <w:r w:rsidR="00EF058B">
        <w:rPr>
          <w:rStyle w:val="Hyperlink"/>
          <w:sz w:val="24"/>
          <w:lang w:val="hu-HU"/>
        </w:rPr>
        <w:fldChar w:fldCharType="end"/>
      </w:r>
    </w:p>
  </w:footnote>
  <w:footnote w:id="10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EFSA </w:t>
      </w:r>
      <w:proofErr w:type="spellStart"/>
      <w:r w:rsidRPr="00CA0EFD">
        <w:rPr>
          <w:sz w:val="24"/>
          <w:lang w:val="hu-HU"/>
        </w:rPr>
        <w:t>conclusion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on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pesticide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peer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review</w:t>
      </w:r>
      <w:proofErr w:type="spellEnd"/>
      <w:r w:rsidRPr="00CA0EFD">
        <w:rPr>
          <w:sz w:val="24"/>
          <w:lang w:val="hu-HU"/>
        </w:rPr>
        <w:t xml:space="preserve"> of 8 November 2010 (az EFSA következtetése a 2010. november 8-i szakértői értékelésről)</w:t>
      </w:r>
      <w:r w:rsidRPr="00CA0EFD">
        <w:rPr>
          <w:rStyle w:val="Hyperlink"/>
          <w:sz w:val="24"/>
          <w:lang w:val="hu-HU"/>
        </w:rPr>
        <w:t>;</w:t>
      </w:r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Draskau</w:t>
      </w:r>
      <w:proofErr w:type="spellEnd"/>
      <w:r w:rsidRPr="00CA0EFD">
        <w:rPr>
          <w:sz w:val="24"/>
          <w:lang w:val="hu-HU"/>
        </w:rPr>
        <w:t>, M</w:t>
      </w:r>
      <w:proofErr w:type="gramStart"/>
      <w:r w:rsidRPr="00CA0EFD">
        <w:rPr>
          <w:sz w:val="24"/>
          <w:lang w:val="hu-HU"/>
        </w:rPr>
        <w:t>.K</w:t>
      </w:r>
      <w:proofErr w:type="gramEnd"/>
      <w:r w:rsidRPr="00CA0EFD">
        <w:rPr>
          <w:sz w:val="24"/>
          <w:lang w:val="hu-HU"/>
        </w:rPr>
        <w:t xml:space="preserve">., and </w:t>
      </w:r>
      <w:proofErr w:type="spellStart"/>
      <w:r w:rsidRPr="00CA0EFD">
        <w:rPr>
          <w:sz w:val="24"/>
          <w:lang w:val="hu-HU"/>
        </w:rPr>
        <w:t>Svingen</w:t>
      </w:r>
      <w:proofErr w:type="spellEnd"/>
      <w:r w:rsidRPr="00CA0EFD">
        <w:rPr>
          <w:sz w:val="24"/>
          <w:lang w:val="hu-HU"/>
        </w:rPr>
        <w:t>, T., ‘</w:t>
      </w:r>
      <w:proofErr w:type="spellStart"/>
      <w:r w:rsidRPr="00CA0EFD">
        <w:rPr>
          <w:sz w:val="24"/>
          <w:lang w:val="hu-HU"/>
        </w:rPr>
        <w:t>Azole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Fungicides</w:t>
      </w:r>
      <w:proofErr w:type="spellEnd"/>
      <w:r w:rsidRPr="00CA0EFD">
        <w:rPr>
          <w:sz w:val="24"/>
          <w:lang w:val="hu-HU"/>
        </w:rPr>
        <w:t xml:space="preserve"> and </w:t>
      </w:r>
      <w:proofErr w:type="spellStart"/>
      <w:r w:rsidRPr="00CA0EFD">
        <w:rPr>
          <w:sz w:val="24"/>
          <w:lang w:val="hu-HU"/>
        </w:rPr>
        <w:t>Their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Endocrine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Disrupting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Properties</w:t>
      </w:r>
      <w:proofErr w:type="spellEnd"/>
      <w:r w:rsidRPr="00CA0EFD">
        <w:rPr>
          <w:sz w:val="24"/>
          <w:lang w:val="hu-HU"/>
        </w:rPr>
        <w:t xml:space="preserve">: </w:t>
      </w:r>
      <w:proofErr w:type="spellStart"/>
      <w:r w:rsidRPr="00CA0EFD">
        <w:rPr>
          <w:sz w:val="24"/>
          <w:lang w:val="hu-HU"/>
        </w:rPr>
        <w:t>Perspectives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on</w:t>
      </w:r>
      <w:proofErr w:type="spellEnd"/>
      <w:r w:rsidRPr="00CA0EFD">
        <w:rPr>
          <w:sz w:val="24"/>
          <w:lang w:val="hu-HU"/>
        </w:rPr>
        <w:t xml:space="preserve"> Sex </w:t>
      </w:r>
      <w:proofErr w:type="spellStart"/>
      <w:r w:rsidRPr="00CA0EFD">
        <w:rPr>
          <w:sz w:val="24"/>
          <w:lang w:val="hu-HU"/>
        </w:rPr>
        <w:t>Hormone-Dependent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Reproductive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Development</w:t>
      </w:r>
      <w:proofErr w:type="spellEnd"/>
      <w:r w:rsidRPr="00CA0EFD">
        <w:rPr>
          <w:sz w:val="24"/>
          <w:lang w:val="hu-HU"/>
        </w:rPr>
        <w:t>’, </w:t>
      </w:r>
      <w:proofErr w:type="spellStart"/>
      <w:r w:rsidRPr="00CA0EFD">
        <w:rPr>
          <w:sz w:val="24"/>
          <w:lang w:val="hu-HU"/>
        </w:rPr>
        <w:t>Frontiers</w:t>
      </w:r>
      <w:proofErr w:type="spellEnd"/>
      <w:r w:rsidRPr="00CA0EFD">
        <w:rPr>
          <w:sz w:val="24"/>
          <w:lang w:val="hu-HU"/>
        </w:rPr>
        <w:t xml:space="preserve"> in </w:t>
      </w:r>
      <w:proofErr w:type="spellStart"/>
      <w:r w:rsidRPr="00CA0EFD">
        <w:rPr>
          <w:sz w:val="24"/>
          <w:lang w:val="hu-HU"/>
        </w:rPr>
        <w:t>Toxicology</w:t>
      </w:r>
      <w:proofErr w:type="spellEnd"/>
      <w:r w:rsidRPr="00CA0EFD">
        <w:rPr>
          <w:sz w:val="24"/>
          <w:lang w:val="hu-HU"/>
        </w:rPr>
        <w:t xml:space="preserve"> 2022, 4:883254, </w:t>
      </w:r>
      <w:hyperlink r:id="rId4" w:history="1">
        <w:r w:rsidRPr="00CA0EFD">
          <w:rPr>
            <w:rStyle w:val="Hyperlink"/>
            <w:color w:val="0000FF"/>
            <w:sz w:val="24"/>
            <w:shd w:val="clear" w:color="auto" w:fill="F7F7F7"/>
            <w:lang w:val="hu-HU"/>
          </w:rPr>
          <w:t>https://doi.org/10.3389/ftox.2022.883254</w:t>
        </w:r>
      </w:hyperlink>
      <w:r w:rsidRPr="00CA0EFD">
        <w:rPr>
          <w:sz w:val="24"/>
          <w:lang w:val="hu-HU"/>
        </w:rPr>
        <w:t>.</w:t>
      </w:r>
    </w:p>
  </w:footnote>
  <w:footnote w:id="11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A Bizottság (EU) 2018/605 rendelete (2018. április 19.) az 1107/2009/EK rendelet II. mellékletének az endokrin károsító tulajdonságok meghatározására szolgáló tudományos </w:t>
      </w:r>
      <w:proofErr w:type="gramStart"/>
      <w:r w:rsidRPr="00CA0EFD">
        <w:rPr>
          <w:sz w:val="24"/>
          <w:lang w:val="hu-HU"/>
        </w:rPr>
        <w:t>kritériumok</w:t>
      </w:r>
      <w:proofErr w:type="gramEnd"/>
      <w:r w:rsidRPr="00CA0EFD">
        <w:rPr>
          <w:sz w:val="24"/>
          <w:lang w:val="hu-HU"/>
        </w:rPr>
        <w:t xml:space="preserve"> megállapítása tekintetében történő módosításáról (HL L 101., 2018.4.20., 33. o.).</w:t>
      </w:r>
    </w:p>
  </w:footnote>
  <w:footnote w:id="12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Pr="00CA0EFD">
        <w:rPr>
          <w:sz w:val="24"/>
          <w:lang w:val="hu-HU"/>
        </w:rPr>
        <w:t xml:space="preserve">EFSA </w:t>
      </w:r>
      <w:proofErr w:type="spellStart"/>
      <w:r w:rsidRPr="00CA0EFD">
        <w:rPr>
          <w:sz w:val="24"/>
          <w:lang w:val="hu-HU"/>
        </w:rPr>
        <w:t>scientific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report</w:t>
      </w:r>
      <w:proofErr w:type="spellEnd"/>
      <w:r w:rsidRPr="00CA0EFD">
        <w:rPr>
          <w:sz w:val="24"/>
          <w:lang w:val="hu-HU"/>
        </w:rPr>
        <w:t xml:space="preserve"> of </w:t>
      </w:r>
      <w:proofErr w:type="spellStart"/>
      <w:r w:rsidRPr="00CA0EFD">
        <w:rPr>
          <w:sz w:val="24"/>
          <w:lang w:val="hu-HU"/>
        </w:rPr>
        <w:t>the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Endocrine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Active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Substances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Task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Force</w:t>
      </w:r>
      <w:proofErr w:type="spellEnd"/>
      <w:r w:rsidRPr="00CA0EFD">
        <w:rPr>
          <w:sz w:val="24"/>
          <w:lang w:val="hu-HU"/>
        </w:rPr>
        <w:t xml:space="preserve"> (az EFSA tudományos jelentése az endokrin rendszerre ható anyagokkal foglalkozó munkacsoportról), EFSA Journal 2010</w:t>
      </w:r>
      <w:proofErr w:type="gramStart"/>
      <w:r w:rsidRPr="00CA0EFD">
        <w:rPr>
          <w:sz w:val="24"/>
          <w:lang w:val="hu-HU"/>
        </w:rPr>
        <w:t>;8</w:t>
      </w:r>
      <w:proofErr w:type="gramEnd"/>
      <w:r w:rsidRPr="00CA0EFD">
        <w:rPr>
          <w:sz w:val="24"/>
          <w:lang w:val="hu-HU"/>
        </w:rPr>
        <w:t xml:space="preserve">(11):1932, </w:t>
      </w:r>
      <w:hyperlink r:id="rId5" w:history="1">
        <w:r w:rsidRPr="00CA0EFD">
          <w:rPr>
            <w:rStyle w:val="Hyperlink"/>
            <w:sz w:val="24"/>
            <w:lang w:val="hu-HU"/>
          </w:rPr>
          <w:t>https://doi.org/10.2903/j.efsa.2010.1932</w:t>
        </w:r>
      </w:hyperlink>
      <w:r w:rsidRPr="00CA0EFD">
        <w:rPr>
          <w:sz w:val="24"/>
          <w:lang w:val="hu-HU"/>
        </w:rPr>
        <w:t xml:space="preserve">. </w:t>
      </w:r>
    </w:p>
  </w:footnote>
  <w:footnote w:id="13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proofErr w:type="spellStart"/>
      <w:proofErr w:type="gramStart"/>
      <w:r w:rsidRPr="00CA0EFD">
        <w:rPr>
          <w:sz w:val="24"/>
          <w:lang w:val="hu-HU"/>
        </w:rPr>
        <w:t>Zhang</w:t>
      </w:r>
      <w:proofErr w:type="spellEnd"/>
      <w:r w:rsidRPr="00CA0EFD">
        <w:rPr>
          <w:sz w:val="24"/>
          <w:lang w:val="hu-HU"/>
        </w:rPr>
        <w:t xml:space="preserve">, J., </w:t>
      </w:r>
      <w:proofErr w:type="spellStart"/>
      <w:r w:rsidRPr="00CA0EFD">
        <w:rPr>
          <w:sz w:val="24"/>
          <w:lang w:val="hu-HU"/>
        </w:rPr>
        <w:t>Jimenez</w:t>
      </w:r>
      <w:proofErr w:type="spellEnd"/>
      <w:r w:rsidRPr="00CA0EFD">
        <w:rPr>
          <w:sz w:val="24"/>
          <w:lang w:val="hu-HU"/>
        </w:rPr>
        <w:t xml:space="preserve">, L.L., </w:t>
      </w:r>
      <w:proofErr w:type="spellStart"/>
      <w:r w:rsidRPr="00CA0EFD">
        <w:rPr>
          <w:sz w:val="24"/>
          <w:lang w:val="hu-HU"/>
        </w:rPr>
        <w:t>Snelders</w:t>
      </w:r>
      <w:proofErr w:type="spellEnd"/>
      <w:r w:rsidRPr="00CA0EFD">
        <w:rPr>
          <w:sz w:val="24"/>
          <w:lang w:val="hu-HU"/>
        </w:rPr>
        <w:t xml:space="preserve">, E., </w:t>
      </w:r>
      <w:proofErr w:type="spellStart"/>
      <w:r w:rsidRPr="00CA0EFD">
        <w:rPr>
          <w:sz w:val="24"/>
          <w:lang w:val="hu-HU"/>
        </w:rPr>
        <w:t>Debets</w:t>
      </w:r>
      <w:proofErr w:type="spellEnd"/>
      <w:r w:rsidRPr="00CA0EFD">
        <w:rPr>
          <w:sz w:val="24"/>
          <w:lang w:val="hu-HU"/>
        </w:rPr>
        <w:t xml:space="preserve">, A.J.M., </w:t>
      </w:r>
      <w:proofErr w:type="spellStart"/>
      <w:r w:rsidRPr="00CA0EFD">
        <w:rPr>
          <w:sz w:val="24"/>
          <w:lang w:val="hu-HU"/>
        </w:rPr>
        <w:t>Rietveld</w:t>
      </w:r>
      <w:proofErr w:type="spellEnd"/>
      <w:r w:rsidRPr="00CA0EFD">
        <w:rPr>
          <w:sz w:val="24"/>
          <w:lang w:val="hu-HU"/>
        </w:rPr>
        <w:t xml:space="preserve">, A.G., </w:t>
      </w:r>
      <w:proofErr w:type="spellStart"/>
      <w:r w:rsidRPr="00CA0EFD">
        <w:rPr>
          <w:sz w:val="24"/>
          <w:lang w:val="hu-HU"/>
        </w:rPr>
        <w:t>Zwaan</w:t>
      </w:r>
      <w:proofErr w:type="spellEnd"/>
      <w:r w:rsidRPr="00CA0EFD">
        <w:rPr>
          <w:sz w:val="24"/>
          <w:lang w:val="hu-HU"/>
        </w:rPr>
        <w:t xml:space="preserve">, B.J., </w:t>
      </w:r>
      <w:proofErr w:type="spellStart"/>
      <w:r w:rsidRPr="00CA0EFD">
        <w:rPr>
          <w:sz w:val="24"/>
          <w:lang w:val="hu-HU"/>
        </w:rPr>
        <w:t>Verweij</w:t>
      </w:r>
      <w:proofErr w:type="spellEnd"/>
      <w:r w:rsidRPr="00CA0EFD">
        <w:rPr>
          <w:sz w:val="24"/>
          <w:lang w:val="hu-HU"/>
        </w:rPr>
        <w:t xml:space="preserve">, P.E., </w:t>
      </w:r>
      <w:proofErr w:type="spellStart"/>
      <w:r w:rsidRPr="00CA0EFD">
        <w:rPr>
          <w:sz w:val="24"/>
          <w:lang w:val="hu-HU"/>
        </w:rPr>
        <w:t>Schoustra</w:t>
      </w:r>
      <w:proofErr w:type="spellEnd"/>
      <w:r w:rsidRPr="00CA0EFD">
        <w:rPr>
          <w:sz w:val="24"/>
          <w:lang w:val="hu-HU"/>
        </w:rPr>
        <w:t xml:space="preserve">, S.E., ‘Dynamics of </w:t>
      </w:r>
      <w:proofErr w:type="spellStart"/>
      <w:r w:rsidRPr="00CA0EFD">
        <w:rPr>
          <w:i/>
          <w:sz w:val="24"/>
          <w:lang w:val="hu-HU"/>
        </w:rPr>
        <w:t>Aspergillus</w:t>
      </w:r>
      <w:proofErr w:type="spellEnd"/>
      <w:r w:rsidRPr="00CA0EFD">
        <w:rPr>
          <w:i/>
          <w:sz w:val="24"/>
          <w:lang w:val="hu-HU"/>
        </w:rPr>
        <w:t xml:space="preserve"> </w:t>
      </w:r>
      <w:proofErr w:type="spellStart"/>
      <w:r w:rsidRPr="00CA0EFD">
        <w:rPr>
          <w:i/>
          <w:sz w:val="24"/>
          <w:lang w:val="hu-HU"/>
        </w:rPr>
        <w:t>fumigatus</w:t>
      </w:r>
      <w:proofErr w:type="spellEnd"/>
      <w:r w:rsidRPr="00CA0EFD">
        <w:rPr>
          <w:sz w:val="24"/>
          <w:lang w:val="hu-HU"/>
        </w:rPr>
        <w:t xml:space="preserve"> in </w:t>
      </w:r>
      <w:proofErr w:type="spellStart"/>
      <w:r w:rsidRPr="00CA0EFD">
        <w:rPr>
          <w:sz w:val="24"/>
          <w:lang w:val="hu-HU"/>
        </w:rPr>
        <w:t>Azole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Fungicide-Containing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Plant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Waste</w:t>
      </w:r>
      <w:proofErr w:type="spellEnd"/>
      <w:r w:rsidRPr="00CA0EFD">
        <w:rPr>
          <w:sz w:val="24"/>
          <w:lang w:val="hu-HU"/>
        </w:rPr>
        <w:t xml:space="preserve"> in </w:t>
      </w:r>
      <w:proofErr w:type="spellStart"/>
      <w:r w:rsidRPr="00CA0EFD">
        <w:rPr>
          <w:sz w:val="24"/>
          <w:lang w:val="hu-HU"/>
        </w:rPr>
        <w:t>the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Netherlands</w:t>
      </w:r>
      <w:proofErr w:type="spellEnd"/>
      <w:r w:rsidRPr="00CA0EFD">
        <w:rPr>
          <w:sz w:val="24"/>
          <w:lang w:val="hu-HU"/>
        </w:rPr>
        <w:t xml:space="preserve"> (2016-2017)’, </w:t>
      </w:r>
      <w:proofErr w:type="spellStart"/>
      <w:r w:rsidRPr="00CA0EFD">
        <w:rPr>
          <w:sz w:val="24"/>
          <w:lang w:val="hu-HU"/>
        </w:rPr>
        <w:t>Applied</w:t>
      </w:r>
      <w:proofErr w:type="spellEnd"/>
      <w:r w:rsidRPr="00CA0EFD">
        <w:rPr>
          <w:sz w:val="24"/>
          <w:lang w:val="hu-HU"/>
        </w:rPr>
        <w:t xml:space="preserve"> and </w:t>
      </w:r>
      <w:proofErr w:type="spellStart"/>
      <w:r w:rsidRPr="00CA0EFD">
        <w:rPr>
          <w:sz w:val="24"/>
          <w:lang w:val="hu-HU"/>
        </w:rPr>
        <w:t>Environmental</w:t>
      </w:r>
      <w:proofErr w:type="spellEnd"/>
      <w:r w:rsidRPr="00CA0EFD">
        <w:rPr>
          <w:sz w:val="24"/>
          <w:lang w:val="hu-HU"/>
        </w:rPr>
        <w:t xml:space="preserve"> </w:t>
      </w:r>
      <w:proofErr w:type="spellStart"/>
      <w:r w:rsidRPr="00CA0EFD">
        <w:rPr>
          <w:sz w:val="24"/>
          <w:lang w:val="hu-HU"/>
        </w:rPr>
        <w:t>Microbiology</w:t>
      </w:r>
      <w:proofErr w:type="spellEnd"/>
      <w:r w:rsidRPr="00CA0EFD">
        <w:rPr>
          <w:sz w:val="24"/>
          <w:lang w:val="hu-HU"/>
        </w:rPr>
        <w:t xml:space="preserve"> 2021, 87:e02295-20, </w:t>
      </w:r>
      <w:hyperlink r:id="rId6" w:history="1">
        <w:r w:rsidRPr="00CA0EFD">
          <w:rPr>
            <w:rStyle w:val="Hyperlink"/>
            <w:sz w:val="24"/>
            <w:lang w:val="hu-HU"/>
          </w:rPr>
          <w:t>https://doi.org/10.1128/AEM.02295-20</w:t>
        </w:r>
      </w:hyperlink>
      <w:r w:rsidRPr="00CA0EFD">
        <w:rPr>
          <w:color w:val="000000"/>
          <w:sz w:val="24"/>
          <w:lang w:val="hu-HU"/>
        </w:rPr>
        <w:t xml:space="preserve">; Az </w:t>
      </w:r>
      <w:proofErr w:type="spellStart"/>
      <w:r w:rsidRPr="00CA0EFD">
        <w:rPr>
          <w:color w:val="000000"/>
          <w:sz w:val="24"/>
          <w:lang w:val="hu-HU"/>
        </w:rPr>
        <w:t>azol</w:t>
      </w:r>
      <w:proofErr w:type="spellEnd"/>
      <w:r w:rsidRPr="00CA0EFD">
        <w:rPr>
          <w:color w:val="000000"/>
          <w:sz w:val="24"/>
          <w:lang w:val="hu-HU"/>
        </w:rPr>
        <w:t>-rezisztenciával foglalkozó dán Környezetvédelmi és Élelmiszerügyi Bizottság,</w:t>
      </w:r>
      <w:hyperlink r:id="rId7" w:history="1">
        <w:r w:rsidRPr="00CA0EFD">
          <w:rPr>
            <w:rStyle w:val="Hyperlink"/>
            <w:sz w:val="24"/>
            <w:lang w:val="hu-HU"/>
          </w:rPr>
          <w:t>https://www.ft.dk/samling/20181/almdel/MOF/bilag/407/2016336.pdf</w:t>
        </w:r>
        <w:proofErr w:type="gramEnd"/>
      </w:hyperlink>
      <w:r w:rsidRPr="00CA0EFD">
        <w:rPr>
          <w:color w:val="000000"/>
          <w:sz w:val="24"/>
          <w:lang w:val="hu-HU"/>
        </w:rPr>
        <w:t xml:space="preserve">; </w:t>
      </w:r>
      <w:proofErr w:type="spellStart"/>
      <w:r w:rsidRPr="00CA0EFD">
        <w:rPr>
          <w:color w:val="000000"/>
          <w:sz w:val="24"/>
          <w:lang w:val="hu-HU"/>
        </w:rPr>
        <w:t>Snelders</w:t>
      </w:r>
      <w:proofErr w:type="spellEnd"/>
      <w:r w:rsidRPr="00CA0EFD">
        <w:rPr>
          <w:color w:val="000000"/>
          <w:sz w:val="24"/>
          <w:lang w:val="hu-HU"/>
        </w:rPr>
        <w:t xml:space="preserve">, E., </w:t>
      </w:r>
      <w:proofErr w:type="spellStart"/>
      <w:r w:rsidRPr="00CA0EFD">
        <w:rPr>
          <w:color w:val="000000"/>
          <w:sz w:val="24"/>
          <w:lang w:val="hu-HU"/>
        </w:rPr>
        <w:t>Camps</w:t>
      </w:r>
      <w:proofErr w:type="spellEnd"/>
      <w:r w:rsidRPr="00CA0EFD">
        <w:rPr>
          <w:color w:val="000000"/>
          <w:sz w:val="24"/>
          <w:lang w:val="hu-HU"/>
        </w:rPr>
        <w:t xml:space="preserve">, S.M.T., </w:t>
      </w:r>
      <w:proofErr w:type="spellStart"/>
      <w:r w:rsidRPr="00CA0EFD">
        <w:rPr>
          <w:color w:val="000000"/>
          <w:sz w:val="24"/>
          <w:lang w:val="hu-HU"/>
        </w:rPr>
        <w:t>Karawajczyk</w:t>
      </w:r>
      <w:proofErr w:type="spellEnd"/>
      <w:r w:rsidRPr="00CA0EFD">
        <w:rPr>
          <w:color w:val="000000"/>
          <w:sz w:val="24"/>
          <w:lang w:val="hu-HU"/>
        </w:rPr>
        <w:t xml:space="preserve">, </w:t>
      </w:r>
      <w:proofErr w:type="gramStart"/>
      <w:r w:rsidRPr="00CA0EFD">
        <w:rPr>
          <w:color w:val="000000"/>
          <w:sz w:val="24"/>
          <w:lang w:val="hu-HU"/>
        </w:rPr>
        <w:t>A</w:t>
      </w:r>
      <w:proofErr w:type="gramEnd"/>
      <w:r w:rsidRPr="00CA0EFD">
        <w:rPr>
          <w:color w:val="000000"/>
          <w:sz w:val="24"/>
          <w:lang w:val="hu-HU"/>
        </w:rPr>
        <w:t xml:space="preserve">., </w:t>
      </w:r>
      <w:proofErr w:type="spellStart"/>
      <w:r w:rsidRPr="00CA0EFD">
        <w:rPr>
          <w:color w:val="000000"/>
          <w:sz w:val="24"/>
          <w:lang w:val="hu-HU"/>
        </w:rPr>
        <w:t>Schaftenaar</w:t>
      </w:r>
      <w:proofErr w:type="spellEnd"/>
      <w:r w:rsidRPr="00CA0EFD">
        <w:rPr>
          <w:color w:val="000000"/>
          <w:sz w:val="24"/>
          <w:lang w:val="hu-HU"/>
        </w:rPr>
        <w:t xml:space="preserve">, G., </w:t>
      </w:r>
      <w:proofErr w:type="spellStart"/>
      <w:r w:rsidRPr="00CA0EFD">
        <w:rPr>
          <w:color w:val="000000"/>
          <w:sz w:val="24"/>
          <w:lang w:val="hu-HU"/>
        </w:rPr>
        <w:t>Kema</w:t>
      </w:r>
      <w:proofErr w:type="spellEnd"/>
      <w:r w:rsidRPr="00CA0EFD">
        <w:rPr>
          <w:color w:val="000000"/>
          <w:sz w:val="24"/>
          <w:lang w:val="hu-HU"/>
        </w:rPr>
        <w:t xml:space="preserve">, G.H.J., van der Lee, H.A., et </w:t>
      </w:r>
      <w:proofErr w:type="spellStart"/>
      <w:r w:rsidRPr="00CA0EFD">
        <w:rPr>
          <w:color w:val="000000"/>
          <w:sz w:val="24"/>
          <w:lang w:val="hu-HU"/>
        </w:rPr>
        <w:t>al</w:t>
      </w:r>
      <w:proofErr w:type="spellEnd"/>
      <w:r w:rsidRPr="00CA0EFD">
        <w:rPr>
          <w:color w:val="000000"/>
          <w:sz w:val="24"/>
          <w:lang w:val="hu-HU"/>
        </w:rPr>
        <w:t>., ‘</w:t>
      </w:r>
      <w:proofErr w:type="spellStart"/>
      <w:r w:rsidRPr="00CA0EFD">
        <w:rPr>
          <w:color w:val="000000"/>
          <w:sz w:val="24"/>
          <w:lang w:val="hu-HU"/>
        </w:rPr>
        <w:t>Triazole</w:t>
      </w:r>
      <w:proofErr w:type="spellEnd"/>
      <w:r w:rsidRPr="00CA0EFD">
        <w:rPr>
          <w:color w:val="000000"/>
          <w:sz w:val="24"/>
          <w:lang w:val="hu-HU"/>
        </w:rPr>
        <w:t xml:space="preserve"> </w:t>
      </w:r>
      <w:proofErr w:type="spellStart"/>
      <w:r w:rsidRPr="00CA0EFD">
        <w:rPr>
          <w:color w:val="000000"/>
          <w:sz w:val="24"/>
          <w:lang w:val="hu-HU"/>
        </w:rPr>
        <w:t>Fungicides</w:t>
      </w:r>
      <w:proofErr w:type="spellEnd"/>
      <w:r w:rsidRPr="00CA0EFD">
        <w:rPr>
          <w:color w:val="000000"/>
          <w:sz w:val="24"/>
          <w:lang w:val="hu-HU"/>
        </w:rPr>
        <w:t xml:space="preserve"> </w:t>
      </w:r>
      <w:proofErr w:type="spellStart"/>
      <w:r w:rsidRPr="00CA0EFD">
        <w:rPr>
          <w:color w:val="000000"/>
          <w:sz w:val="24"/>
          <w:lang w:val="hu-HU"/>
        </w:rPr>
        <w:t>Can</w:t>
      </w:r>
      <w:proofErr w:type="spellEnd"/>
      <w:r w:rsidRPr="00CA0EFD">
        <w:rPr>
          <w:color w:val="000000"/>
          <w:sz w:val="24"/>
          <w:lang w:val="hu-HU"/>
        </w:rPr>
        <w:t xml:space="preserve"> </w:t>
      </w:r>
      <w:proofErr w:type="spellStart"/>
      <w:r w:rsidRPr="00CA0EFD">
        <w:rPr>
          <w:color w:val="000000"/>
          <w:sz w:val="24"/>
          <w:lang w:val="hu-HU"/>
        </w:rPr>
        <w:t>Induce</w:t>
      </w:r>
      <w:proofErr w:type="spellEnd"/>
      <w:r w:rsidRPr="00CA0EFD">
        <w:rPr>
          <w:color w:val="000000"/>
          <w:sz w:val="24"/>
          <w:lang w:val="hu-HU"/>
        </w:rPr>
        <w:t xml:space="preserve"> </w:t>
      </w:r>
      <w:proofErr w:type="spellStart"/>
      <w:r w:rsidRPr="00CA0EFD">
        <w:rPr>
          <w:color w:val="000000"/>
          <w:sz w:val="24"/>
          <w:lang w:val="hu-HU"/>
        </w:rPr>
        <w:t>Cross-Resistance</w:t>
      </w:r>
      <w:proofErr w:type="spellEnd"/>
      <w:r w:rsidRPr="00CA0EFD">
        <w:rPr>
          <w:color w:val="000000"/>
          <w:sz w:val="24"/>
          <w:lang w:val="hu-HU"/>
        </w:rPr>
        <w:t xml:space="preserve"> </w:t>
      </w:r>
      <w:proofErr w:type="spellStart"/>
      <w:r w:rsidRPr="00CA0EFD">
        <w:rPr>
          <w:color w:val="000000"/>
          <w:sz w:val="24"/>
          <w:lang w:val="hu-HU"/>
        </w:rPr>
        <w:t>to</w:t>
      </w:r>
      <w:proofErr w:type="spellEnd"/>
      <w:r w:rsidRPr="00CA0EFD">
        <w:rPr>
          <w:color w:val="000000"/>
          <w:sz w:val="24"/>
          <w:lang w:val="hu-HU"/>
        </w:rPr>
        <w:t xml:space="preserve"> Medical </w:t>
      </w:r>
      <w:proofErr w:type="spellStart"/>
      <w:r w:rsidRPr="00CA0EFD">
        <w:rPr>
          <w:color w:val="000000"/>
          <w:sz w:val="24"/>
          <w:lang w:val="hu-HU"/>
        </w:rPr>
        <w:t>Triazoles</w:t>
      </w:r>
      <w:proofErr w:type="spellEnd"/>
      <w:r w:rsidRPr="00CA0EFD">
        <w:rPr>
          <w:color w:val="000000"/>
          <w:sz w:val="24"/>
          <w:lang w:val="hu-HU"/>
        </w:rPr>
        <w:t xml:space="preserve"> in </w:t>
      </w:r>
      <w:proofErr w:type="spellStart"/>
      <w:r w:rsidRPr="00CA0EFD">
        <w:rPr>
          <w:i/>
          <w:color w:val="000000"/>
          <w:sz w:val="24"/>
          <w:lang w:val="hu-HU"/>
        </w:rPr>
        <w:t>Aspergillus</w:t>
      </w:r>
      <w:proofErr w:type="spellEnd"/>
      <w:r w:rsidRPr="00CA0EFD">
        <w:rPr>
          <w:i/>
          <w:color w:val="000000"/>
          <w:sz w:val="24"/>
          <w:lang w:val="hu-HU"/>
        </w:rPr>
        <w:t xml:space="preserve"> </w:t>
      </w:r>
      <w:proofErr w:type="spellStart"/>
      <w:r w:rsidRPr="00CA0EFD">
        <w:rPr>
          <w:i/>
          <w:color w:val="000000"/>
          <w:sz w:val="24"/>
          <w:lang w:val="hu-HU"/>
        </w:rPr>
        <w:t>fumigatus</w:t>
      </w:r>
      <w:proofErr w:type="spellEnd"/>
      <w:r w:rsidRPr="00CA0EFD">
        <w:rPr>
          <w:i/>
          <w:color w:val="000000"/>
          <w:sz w:val="24"/>
          <w:lang w:val="hu-HU"/>
        </w:rPr>
        <w:t>’</w:t>
      </w:r>
      <w:r w:rsidRPr="00CA0EFD">
        <w:rPr>
          <w:color w:val="000000"/>
          <w:sz w:val="24"/>
          <w:lang w:val="hu-HU"/>
        </w:rPr>
        <w:t xml:space="preserve">. </w:t>
      </w:r>
      <w:proofErr w:type="spellStart"/>
      <w:r w:rsidRPr="00CA0EFD">
        <w:rPr>
          <w:color w:val="000000"/>
          <w:sz w:val="24"/>
          <w:lang w:val="hu-HU"/>
        </w:rPr>
        <w:t>PLoS</w:t>
      </w:r>
      <w:proofErr w:type="spellEnd"/>
      <w:r w:rsidRPr="00CA0EFD">
        <w:rPr>
          <w:color w:val="000000"/>
          <w:sz w:val="24"/>
          <w:lang w:val="hu-HU"/>
        </w:rPr>
        <w:t xml:space="preserve"> ONE 2012, </w:t>
      </w:r>
      <w:proofErr w:type="gramStart"/>
      <w:r w:rsidRPr="00CA0EFD">
        <w:rPr>
          <w:color w:val="000000"/>
          <w:sz w:val="24"/>
          <w:lang w:val="hu-HU"/>
        </w:rPr>
        <w:t>7(</w:t>
      </w:r>
      <w:proofErr w:type="gramEnd"/>
      <w:r w:rsidRPr="00CA0EFD">
        <w:rPr>
          <w:color w:val="000000"/>
          <w:sz w:val="24"/>
          <w:lang w:val="hu-HU"/>
        </w:rPr>
        <w:t xml:space="preserve">3): e31801. </w:t>
      </w:r>
      <w:r w:rsidR="00EF058B">
        <w:fldChar w:fldCharType="begin"/>
      </w:r>
      <w:r w:rsidR="00EF058B" w:rsidRPr="00EF058B">
        <w:rPr>
          <w:lang w:val="hu-HU"/>
        </w:rPr>
        <w:instrText xml:space="preserve"> HYPERLINK "https://doi.org/10.1371/journal.pone.0031801" </w:instrText>
      </w:r>
      <w:r w:rsidR="00EF058B">
        <w:fldChar w:fldCharType="separate"/>
      </w:r>
      <w:r w:rsidRPr="00FB2519">
        <w:rPr>
          <w:rStyle w:val="Hyperlink"/>
          <w:sz w:val="24"/>
          <w:lang w:val="hu-HU"/>
        </w:rPr>
        <w:t>https://doi.org/10.1371/journal.pone.0031801</w:t>
      </w:r>
      <w:r w:rsidR="00EF058B">
        <w:rPr>
          <w:rStyle w:val="Hyperlink"/>
          <w:sz w:val="24"/>
          <w:lang w:val="hu-HU"/>
        </w:rPr>
        <w:fldChar w:fldCharType="end"/>
      </w:r>
      <w:r w:rsidRPr="00CA0EFD">
        <w:rPr>
          <w:color w:val="000000"/>
          <w:sz w:val="24"/>
          <w:lang w:val="hu-HU"/>
        </w:rPr>
        <w:t>.</w:t>
      </w:r>
    </w:p>
  </w:footnote>
  <w:footnote w:id="14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="00EF058B">
        <w:fldChar w:fldCharType="begin"/>
      </w:r>
      <w:r w:rsidR="00EF058B" w:rsidRPr="00EF058B">
        <w:rPr>
          <w:lang w:val="hu-HU"/>
        </w:rPr>
        <w:instrText xml:space="preserve"> HYPERLINK "https://open.efsa.europa.eu/question/EFSA-Q-2022-00040" </w:instrText>
      </w:r>
      <w:r w:rsidR="00EF058B">
        <w:fldChar w:fldCharType="separate"/>
      </w:r>
      <w:r w:rsidRPr="00CA0EFD">
        <w:rPr>
          <w:rStyle w:val="Hyperlink"/>
          <w:sz w:val="24"/>
          <w:lang w:val="hu-HU"/>
        </w:rPr>
        <w:t>https://open.efsa.europa.eu/question/EFSA-Q-2022-00040</w:t>
      </w:r>
      <w:r w:rsidR="00EF058B">
        <w:rPr>
          <w:rStyle w:val="Hyperlink"/>
          <w:sz w:val="24"/>
          <w:lang w:val="hu-HU"/>
        </w:rPr>
        <w:fldChar w:fldCharType="end"/>
      </w:r>
    </w:p>
  </w:footnote>
  <w:footnote w:id="15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rStyle w:val="FootnoteReference"/>
          <w:sz w:val="24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r w:rsidR="00EF058B">
        <w:fldChar w:fldCharType="begin"/>
      </w:r>
      <w:r w:rsidR="00EF058B" w:rsidRPr="00EF058B">
        <w:rPr>
          <w:lang w:val="hu-HU"/>
        </w:rPr>
        <w:instrText xml:space="preserve"> HYPERLINK "https://ec.europa.eu/transparency/comitology-register/screen/documents/089880/5/consult?lang=hu" </w:instrText>
      </w:r>
      <w:r w:rsidR="00EF058B">
        <w:fldChar w:fldCharType="separate"/>
      </w:r>
      <w:r w:rsidRPr="00CA0EFD">
        <w:rPr>
          <w:rStyle w:val="Hyperlink"/>
          <w:sz w:val="24"/>
          <w:lang w:val="hu-HU"/>
        </w:rPr>
        <w:t>https://ec.europa.eu/transparency/comitology-register/screen/documents/089880/5/consult?lang=hu</w:t>
      </w:r>
      <w:r w:rsidR="00EF058B">
        <w:rPr>
          <w:rStyle w:val="Hyperlink"/>
          <w:sz w:val="24"/>
          <w:lang w:val="hu-HU"/>
        </w:rPr>
        <w:fldChar w:fldCharType="end"/>
      </w:r>
    </w:p>
  </w:footnote>
  <w:footnote w:id="16">
    <w:p w:rsidR="00580DEB" w:rsidRPr="00CA0EFD" w:rsidRDefault="00580DEB" w:rsidP="00CA0EFD">
      <w:pPr>
        <w:pStyle w:val="FootnoteText"/>
        <w:ind w:left="567" w:hanging="567"/>
        <w:rPr>
          <w:sz w:val="24"/>
          <w:lang w:val="hu-HU"/>
        </w:rPr>
      </w:pPr>
      <w:r w:rsidRPr="00CA0EFD">
        <w:rPr>
          <w:sz w:val="24"/>
          <w:vertAlign w:val="superscript"/>
          <w:lang w:val="hu-HU"/>
        </w:rPr>
        <w:footnoteRef/>
      </w:r>
      <w:r w:rsidR="00CA0EFD" w:rsidRPr="00CA0EFD">
        <w:rPr>
          <w:sz w:val="24"/>
          <w:lang w:val="hu-HU"/>
        </w:rPr>
        <w:t xml:space="preserve"> </w:t>
      </w:r>
      <w:r w:rsidR="00CA0EFD" w:rsidRPr="00CA0EFD">
        <w:rPr>
          <w:sz w:val="24"/>
          <w:lang w:val="hu-HU"/>
        </w:rPr>
        <w:tab/>
      </w:r>
      <w:proofErr w:type="gramStart"/>
      <w:r w:rsidRPr="00CA0EFD">
        <w:rPr>
          <w:sz w:val="24"/>
          <w:lang w:val="hu-HU"/>
        </w:rPr>
        <w:t>COM(</w:t>
      </w:r>
      <w:proofErr w:type="gramEnd"/>
      <w:r w:rsidRPr="00CA0EFD">
        <w:rPr>
          <w:sz w:val="24"/>
          <w:lang w:val="hu-HU"/>
        </w:rPr>
        <w:t>20</w:t>
      </w:r>
      <w:r w:rsidR="00FB2519">
        <w:rPr>
          <w:sz w:val="24"/>
          <w:lang w:val="hu-HU"/>
        </w:rPr>
        <w:t>20)</w:t>
      </w:r>
      <w:r w:rsidRPr="00CA0EFD">
        <w:rPr>
          <w:sz w:val="24"/>
          <w:lang w:val="hu-HU"/>
        </w:rPr>
        <w:t>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A0E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HU"/>
    <w:docVar w:name="dvnumam" w:val="0"/>
    <w:docVar w:name="dvpe" w:val="763.091"/>
    <w:docVar w:name="dvtitre" w:val="Az Európai Parlament 2024.  ...-i állásfoglalása a 396/2005/EK európai parlamenti és tanácsi rendelet II. és III. mellékletének a bizonyos termékekben, illetve azok felületén található ciprokonazol és spirodiklofen legmagasabb megengedett szermaradék-határértékei tekintetében történő módosításáról szóló bizottsági rendelet tervezetéről(D091952/05 – 2024/2759(RPS))"/>
  </w:docVars>
  <w:rsids>
    <w:rsidRoot w:val="002955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529"/>
    <w:rsid w:val="002B18FE"/>
    <w:rsid w:val="002B5493"/>
    <w:rsid w:val="00343214"/>
    <w:rsid w:val="00361C00"/>
    <w:rsid w:val="00395FA1"/>
    <w:rsid w:val="003E15D4"/>
    <w:rsid w:val="003E7E9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DEB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F4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0EF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58B"/>
    <w:rsid w:val="00F04346"/>
    <w:rsid w:val="00F075DC"/>
    <w:rsid w:val="00F149E9"/>
    <w:rsid w:val="00F5134D"/>
    <w:rsid w:val="00F74202"/>
    <w:rsid w:val="00F87713"/>
    <w:rsid w:val="00FB2519"/>
    <w:rsid w:val="00FB4360"/>
    <w:rsid w:val="00FD0C70"/>
    <w:rsid w:val="00FE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A35C8A-E93C-4003-8EF8-5CFB3CBB0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80DEB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580DEB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580DE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FB25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B2519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ha.europa.eu/documents/10162/6d98baeb-24aa-a683-28ec-d8adabee5461" TargetMode="External"/><Relationship Id="rId7" Type="http://schemas.openxmlformats.org/officeDocument/2006/relationships/hyperlink" Target="https://www.ft.dk/samling/20181/almdel/MOF/bilag/407/2016336.pdf" TargetMode="External"/><Relationship Id="rId2" Type="http://schemas.openxmlformats.org/officeDocument/2006/relationships/hyperlink" Target="https://doi.org/10.2903/j.efsa.2010.1897" TargetMode="External"/><Relationship Id="rId1" Type="http://schemas.openxmlformats.org/officeDocument/2006/relationships/hyperlink" Target="https://doi.org/10.2903/j.efsa.2021.6483" TargetMode="External"/><Relationship Id="rId6" Type="http://schemas.openxmlformats.org/officeDocument/2006/relationships/hyperlink" Target="https://doi.org/10.1128/AEM.02295-20" TargetMode="External"/><Relationship Id="rId5" Type="http://schemas.openxmlformats.org/officeDocument/2006/relationships/hyperlink" Target="https://doi.org/10.2903/j.efsa.2010.1932" TargetMode="External"/><Relationship Id="rId4" Type="http://schemas.openxmlformats.org/officeDocument/2006/relationships/hyperlink" Target="https://doi.org/10.3389/ftox.2022.8832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BEE45-4065-405D-BB7A-36172F565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1738</Words>
  <Characters>12456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2024-09-18T10:27:00Z</dcterms:created>
  <dcterms:modified xsi:type="dcterms:W3CDTF">2024-09-18T10:27:00Z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B10-0021/2024</vt:lpwstr>
  </property>
  <property fmtid="{D5CDD505-2E9C-101B-9397-08002B2CF9AE}" pid="4" name="&lt;Type&gt;">
    <vt:lpwstr>RR</vt:lpwstr>
  </property>
</Properties>
</file>