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677C" w:rsidTr="0010095E">
        <w:trPr>
          <w:trHeight w:hRule="exact" w:val="1418"/>
        </w:trPr>
        <w:tc>
          <w:tcPr>
            <w:tcW w:w="6804" w:type="dxa"/>
            <w:shd w:val="clear" w:color="auto" w:fill="auto"/>
            <w:vAlign w:val="center"/>
          </w:tcPr>
          <w:p w:rsidR="00751A4A" w:rsidRPr="00F4677C" w:rsidRDefault="00676B10" w:rsidP="0010095E">
            <w:pPr>
              <w:pStyle w:val="EPName"/>
            </w:pPr>
            <w:r w:rsidRPr="00F4677C">
              <w:t>Europos Parlamentas</w:t>
            </w:r>
          </w:p>
          <w:p w:rsidR="00751A4A" w:rsidRPr="00F4677C" w:rsidRDefault="005F1B17" w:rsidP="005F1B17">
            <w:pPr>
              <w:pStyle w:val="EPTerm"/>
              <w:rPr>
                <w:rStyle w:val="HideTWBExt"/>
                <w:noProof w:val="0"/>
                <w:vanish w:val="0"/>
                <w:color w:val="auto"/>
              </w:rPr>
            </w:pPr>
            <w:r w:rsidRPr="00F4677C">
              <w:t>2024</w:t>
            </w:r>
            <w:r w:rsidR="00817416" w:rsidRPr="00F4677C">
              <w:t>-202</w:t>
            </w:r>
            <w:r w:rsidRPr="00F4677C">
              <w:t>9</w:t>
            </w:r>
          </w:p>
        </w:tc>
        <w:tc>
          <w:tcPr>
            <w:tcW w:w="2268" w:type="dxa"/>
            <w:shd w:val="clear" w:color="auto" w:fill="auto"/>
          </w:tcPr>
          <w:p w:rsidR="00751A4A" w:rsidRPr="00F4677C" w:rsidRDefault="00187494" w:rsidP="0010095E">
            <w:pPr>
              <w:pStyle w:val="EPLogo"/>
            </w:pPr>
            <w:r w:rsidRPr="00F4677C">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4677C" w:rsidRDefault="00D058B8" w:rsidP="004C5D52">
      <w:pPr>
        <w:pStyle w:val="LineTop"/>
      </w:pPr>
    </w:p>
    <w:p w:rsidR="00680577" w:rsidRPr="00F4677C" w:rsidRDefault="00676B10" w:rsidP="00680577">
      <w:pPr>
        <w:pStyle w:val="EPBodyTA1"/>
      </w:pPr>
      <w:r w:rsidRPr="00F4677C">
        <w:t>PRIIMTI TEKSTAI</w:t>
      </w:r>
    </w:p>
    <w:p w:rsidR="00D058B8" w:rsidRPr="00F4677C" w:rsidRDefault="00D058B8" w:rsidP="00D058B8">
      <w:pPr>
        <w:pStyle w:val="LineBottom"/>
      </w:pPr>
    </w:p>
    <w:p w:rsidR="00676B10" w:rsidRPr="00F4677C" w:rsidRDefault="00676B10" w:rsidP="00676B10">
      <w:pPr>
        <w:pStyle w:val="ATHeading1"/>
      </w:pPr>
      <w:bookmarkStart w:id="0" w:name="TANumber"/>
      <w:r w:rsidRPr="00F4677C">
        <w:t>P10_TA(2024)000</w:t>
      </w:r>
      <w:r w:rsidR="00FB563A">
        <w:t>7</w:t>
      </w:r>
      <w:bookmarkEnd w:id="0"/>
    </w:p>
    <w:p w:rsidR="00676B10" w:rsidRPr="00F4677C" w:rsidRDefault="00B63A5F" w:rsidP="00B63A5F">
      <w:pPr>
        <w:pStyle w:val="ATHeading2"/>
      </w:pPr>
      <w:bookmarkStart w:id="1" w:name="title"/>
      <w:r>
        <w:t xml:space="preserve">Prieštaravimas įgyvendinimo aktui: didžiausia leidžiamoji </w:t>
      </w:r>
      <w:proofErr w:type="spellStart"/>
      <w:r>
        <w:t>ciprokonazolo</w:t>
      </w:r>
      <w:proofErr w:type="spellEnd"/>
      <w:r>
        <w:t xml:space="preserve"> liekanų koncentracija</w:t>
      </w:r>
      <w:bookmarkEnd w:id="1"/>
    </w:p>
    <w:p w:rsidR="00676B10" w:rsidRPr="00F4677C" w:rsidRDefault="00676B10" w:rsidP="00676B10">
      <w:pPr>
        <w:rPr>
          <w:i/>
          <w:vanish/>
        </w:rPr>
      </w:pPr>
      <w:r w:rsidRPr="00F4677C">
        <w:rPr>
          <w:i/>
        </w:rPr>
        <w:fldChar w:fldCharType="begin"/>
      </w:r>
      <w:r w:rsidRPr="00F4677C">
        <w:rPr>
          <w:i/>
        </w:rPr>
        <w:instrText xml:space="preserve"> TC"(</w:instrText>
      </w:r>
      <w:bookmarkStart w:id="2" w:name="DocNumber"/>
      <w:r w:rsidRPr="00F4677C">
        <w:rPr>
          <w:i/>
        </w:rPr>
        <w:instrText>B10-0021/2024</w:instrText>
      </w:r>
      <w:bookmarkEnd w:id="2"/>
      <w:r w:rsidRPr="00F4677C">
        <w:rPr>
          <w:i/>
        </w:rPr>
        <w:instrText xml:space="preserve">)"\l3 \n&gt; \* MERGEFORMAT </w:instrText>
      </w:r>
      <w:r w:rsidRPr="00F4677C">
        <w:rPr>
          <w:i/>
        </w:rPr>
        <w:fldChar w:fldCharType="end"/>
      </w:r>
    </w:p>
    <w:p w:rsidR="00676B10" w:rsidRPr="00F4677C" w:rsidRDefault="00676B10" w:rsidP="00676B10">
      <w:pPr>
        <w:rPr>
          <w:vanish/>
        </w:rPr>
      </w:pPr>
      <w:bookmarkStart w:id="3" w:name="PE"/>
      <w:r w:rsidRPr="00F4677C">
        <w:rPr>
          <w:vanish/>
        </w:rPr>
        <w:t>PE763.091</w:t>
      </w:r>
      <w:bookmarkEnd w:id="3"/>
    </w:p>
    <w:p w:rsidR="00676B10" w:rsidRPr="00F4677C" w:rsidRDefault="00B63A5F" w:rsidP="00676B10">
      <w:pPr>
        <w:pStyle w:val="ATHeading3"/>
      </w:pPr>
      <w:bookmarkStart w:id="4" w:name="Sujet"/>
      <w:r>
        <w:t xml:space="preserve">2024 m. rugsėjo 18 d. </w:t>
      </w:r>
      <w:r w:rsidR="00676B10" w:rsidRPr="00F4677C">
        <w:t xml:space="preserve">Europos Parlamento rezoliucija dėl Komisijos reglamento, kuriuo dėl didžiausios leidžiamosios </w:t>
      </w:r>
      <w:proofErr w:type="spellStart"/>
      <w:r w:rsidR="00676B10" w:rsidRPr="00F4677C">
        <w:t>ciprokonazolo</w:t>
      </w:r>
      <w:proofErr w:type="spellEnd"/>
      <w:r w:rsidR="00676B10" w:rsidRPr="00F4677C">
        <w:t xml:space="preserve"> ir </w:t>
      </w:r>
      <w:proofErr w:type="spellStart"/>
      <w:r w:rsidR="00676B10" w:rsidRPr="00F4677C">
        <w:t>spirodiklofeno</w:t>
      </w:r>
      <w:proofErr w:type="spellEnd"/>
      <w:r w:rsidR="00676B10" w:rsidRPr="00F4677C">
        <w:t xml:space="preserve"> liekanų koncentracijos tam tikruose produktuose arba ant jų iš dalies keičiami Europos Parlamento </w:t>
      </w:r>
      <w:r w:rsidR="0034777A">
        <w:t>ir Tarybos reglamento (EB) Nr. 39</w:t>
      </w:r>
      <w:r w:rsidR="00676B10" w:rsidRPr="00F4677C">
        <w:t>6/2005 II ir III priedai, projekto</w:t>
      </w:r>
      <w:bookmarkEnd w:id="4"/>
      <w:r w:rsidR="00676B10" w:rsidRPr="00F4677C">
        <w:t xml:space="preserve"> </w:t>
      </w:r>
      <w:bookmarkStart w:id="5" w:name="References"/>
      <w:r w:rsidR="00676B10" w:rsidRPr="00F4677C">
        <w:t>(D091952/05 – 2024/2759(RPS))</w:t>
      </w:r>
      <w:bookmarkEnd w:id="5"/>
    </w:p>
    <w:p w:rsidR="00F64B90" w:rsidRPr="00F4677C" w:rsidRDefault="00F64B90" w:rsidP="00F64B90">
      <w:pPr>
        <w:pStyle w:val="EPComma"/>
      </w:pPr>
      <w:bookmarkStart w:id="6" w:name="TextBodyBegin"/>
      <w:bookmarkEnd w:id="6"/>
      <w:r w:rsidRPr="00F4677C">
        <w:rPr>
          <w:i/>
        </w:rPr>
        <w:t>Europos Parlamentas</w:t>
      </w:r>
      <w:r w:rsidRPr="00F4677C">
        <w:t>,</w:t>
      </w:r>
    </w:p>
    <w:p w:rsidR="00F64B90" w:rsidRPr="00F4677C" w:rsidRDefault="00F64B90" w:rsidP="00F64B90">
      <w:pPr>
        <w:pStyle w:val="NormalHanging12a"/>
      </w:pPr>
      <w:r w:rsidRPr="00F4677C">
        <w:t>–</w:t>
      </w:r>
      <w:r w:rsidRPr="00F4677C">
        <w:tab/>
        <w:t xml:space="preserve">atsižvelgdamas į Komisijos reglamento, kuriuo dėl didžiausios leidžiamosios </w:t>
      </w:r>
      <w:proofErr w:type="spellStart"/>
      <w:r w:rsidRPr="00F4677C">
        <w:t>ciprokonazolo</w:t>
      </w:r>
      <w:proofErr w:type="spellEnd"/>
      <w:r w:rsidRPr="00F4677C">
        <w:t xml:space="preserve"> ir </w:t>
      </w:r>
      <w:proofErr w:type="spellStart"/>
      <w:r w:rsidRPr="00F4677C">
        <w:t>spirodiklofeno</w:t>
      </w:r>
      <w:proofErr w:type="spellEnd"/>
      <w:r w:rsidRPr="00F4677C">
        <w:t xml:space="preserve"> liekanų koncentracijos tam tikruose produktuose arba ant jų iš dalies keičiami Europos Parlamento i</w:t>
      </w:r>
      <w:r w:rsidR="0034777A">
        <w:t>r Tarybos reglamento (EB) Nr. 39</w:t>
      </w:r>
      <w:r w:rsidRPr="00F4677C">
        <w:t>6/2005 II ir III priedai, projektą,</w:t>
      </w:r>
    </w:p>
    <w:p w:rsidR="00F64B90" w:rsidRPr="00F4677C" w:rsidRDefault="00F64B90" w:rsidP="00F64B90">
      <w:pPr>
        <w:pStyle w:val="NormalHanging12a"/>
        <w:rPr>
          <w:szCs w:val="24"/>
        </w:rPr>
      </w:pPr>
      <w:r w:rsidRPr="00F4677C">
        <w:t>–</w:t>
      </w:r>
      <w:r w:rsidRPr="00F4677C">
        <w:tab/>
        <w:t>atsižvelgdamas į 2005 m. vasario 23 d. Europos Parlamento ir Tarybos reglamentą (EB) Nr. 396/2005 dėl didžiausių pesticidų likučių kiekių augalinės ir gyvūninės kilmės maiste ir pašaruose ar ant jų ir iš dalies keičiantį Tarybos direktyvą 91/414/EEB</w:t>
      </w:r>
      <w:r w:rsidRPr="00F4677C">
        <w:rPr>
          <w:rStyle w:val="FootnoteReference"/>
        </w:rPr>
        <w:footnoteReference w:id="1"/>
      </w:r>
      <w:r w:rsidRPr="00F4677C">
        <w:t>, ypač į jo 14 straipsnio 1 dalies a punktą ir 49 straipsnio 2 dalį,</w:t>
      </w:r>
    </w:p>
    <w:p w:rsidR="00F64B90" w:rsidRPr="00F4677C" w:rsidRDefault="00F64B90" w:rsidP="00F64B90">
      <w:pPr>
        <w:pStyle w:val="NormalHanging12a"/>
        <w:rPr>
          <w:szCs w:val="24"/>
        </w:rPr>
      </w:pPr>
      <w:r w:rsidRPr="00F4677C">
        <w:t>–</w:t>
      </w:r>
      <w:r w:rsidRPr="00F4677C">
        <w:tab/>
        <w:t>atsižvelgdamas į 2009 m. spalio 21 d. Europos Parlamento ir Tarybos reglamentą (EB) Nr. 1107/2009 dėl augalų apsaugos produktų pateikimo į rinką ir panaikinantį Tarybos direktyvas 79/117/EEB ir 91/414/EEB</w:t>
      </w:r>
      <w:r w:rsidRPr="00F4677C">
        <w:rPr>
          <w:rStyle w:val="FootnoteReference"/>
          <w:szCs w:val="24"/>
        </w:rPr>
        <w:footnoteReference w:id="2"/>
      </w:r>
      <w:r w:rsidRPr="00F4677C">
        <w:t>, ypač į jo 4 straipsnio 1 dalį ir 4 straipsnio 2 dalies pirmos pastraipos a punktą bei II priedo 3.6.4 punktą,</w:t>
      </w:r>
    </w:p>
    <w:p w:rsidR="00F64B90" w:rsidRPr="00F4677C" w:rsidRDefault="00F64B90" w:rsidP="00F64B90">
      <w:pPr>
        <w:pStyle w:val="NormalHanging12a"/>
        <w:rPr>
          <w:szCs w:val="24"/>
        </w:rPr>
      </w:pPr>
      <w:r w:rsidRPr="00F4677C">
        <w:t>–</w:t>
      </w:r>
      <w:r w:rsidRPr="00F4677C">
        <w:tab/>
        <w:t>atsižvelgdamas į 2002 m. sausio 28 d. Europos Parlamento ir Tarybos reglamentą (EB) Nr. 178/2002, nustatantį maistui skirtų teisės aktų bendruosius principus ir reikalavimus, įsteigiantį Europos maisto saugos tarnybą ir nustatantį su maisto saugos klausimais susijusias procedūras</w:t>
      </w:r>
      <w:r w:rsidRPr="00F4677C">
        <w:rPr>
          <w:rStyle w:val="FootnoteReference"/>
          <w:szCs w:val="24"/>
        </w:rPr>
        <w:footnoteReference w:id="3"/>
      </w:r>
      <w:r w:rsidRPr="00F4677C">
        <w:t>, ypač į jo 5 straipsnio 1 dalį,</w:t>
      </w:r>
    </w:p>
    <w:p w:rsidR="00F64B90" w:rsidRPr="00F4677C" w:rsidRDefault="00F64B90" w:rsidP="00F64B90">
      <w:pPr>
        <w:pStyle w:val="NormalHanging12a"/>
        <w:rPr>
          <w:szCs w:val="24"/>
        </w:rPr>
      </w:pPr>
      <w:r w:rsidRPr="00F4677C">
        <w:t>–</w:t>
      </w:r>
      <w:r w:rsidRPr="00F4677C">
        <w:tab/>
        <w:t>atsižvelgdamas į Sutarties dėl Europos Sąjungos veikimo (SESV) 11, 13, 168 ir 191 straipsnius,</w:t>
      </w:r>
    </w:p>
    <w:p w:rsidR="00F64B90" w:rsidRPr="00F4677C" w:rsidRDefault="00F64B90" w:rsidP="00F64B90">
      <w:pPr>
        <w:pStyle w:val="NormalHanging12a"/>
      </w:pPr>
      <w:r w:rsidRPr="00F4677C">
        <w:lastRenderedPageBreak/>
        <w:t>–</w:t>
      </w:r>
      <w:r w:rsidRPr="00F4677C">
        <w:tab/>
        <w:t>atsižvelgdamas į 2021 m. vasario 19 d. Europos maisto saugos tarnybos (EFSA) priimtą pagrįstą nuomonę, kuri paskelbta 2021 m. kovo 22 d.</w:t>
      </w:r>
      <w:r w:rsidRPr="00F4677C">
        <w:rPr>
          <w:rStyle w:val="FootnoteReference"/>
          <w:szCs w:val="24"/>
        </w:rPr>
        <w:footnoteReference w:id="4"/>
      </w:r>
      <w:r w:rsidRPr="00F4677C">
        <w:t>,</w:t>
      </w:r>
    </w:p>
    <w:p w:rsidR="00F64B90" w:rsidRPr="00F4677C" w:rsidRDefault="00F64B90" w:rsidP="00F64B90">
      <w:pPr>
        <w:pStyle w:val="NormalHanging12a"/>
        <w:rPr>
          <w:szCs w:val="24"/>
        </w:rPr>
      </w:pPr>
      <w:r w:rsidRPr="00F4677C">
        <w:t>–</w:t>
      </w:r>
      <w:r w:rsidRPr="00F4677C">
        <w:tab/>
        <w:t>atsižvelgdamas į 2010 m. lapkričio 8 d. EFSA patvirtintą ir 2010 m. lapkričio 25 d. paskelbtą tarpusavio vertinimo išvadą dėl pesticidų</w:t>
      </w:r>
      <w:r w:rsidRPr="00F4677C">
        <w:rPr>
          <w:rStyle w:val="FootnoteReference"/>
        </w:rPr>
        <w:footnoteReference w:id="5"/>
      </w:r>
      <w:r w:rsidRPr="00F4677C">
        <w:t>,</w:t>
      </w:r>
    </w:p>
    <w:p w:rsidR="00F64B90" w:rsidRPr="00F4677C" w:rsidRDefault="00F64B90" w:rsidP="00F64B90">
      <w:pPr>
        <w:pStyle w:val="NormalHanging12a"/>
        <w:rPr>
          <w:szCs w:val="24"/>
        </w:rPr>
      </w:pPr>
      <w:r w:rsidRPr="00F4677C">
        <w:t>–</w:t>
      </w:r>
      <w:r w:rsidRPr="00F4677C">
        <w:tab/>
        <w:t>atsižvelgdamas į 2015 m. rugsėjo 11 d. Europos cheminių medžiagų agentūros (ECHA) Rizikos vertinimo komiteto (RAC) priimtą nuomonę</w:t>
      </w:r>
      <w:r w:rsidRPr="00F4677C">
        <w:rPr>
          <w:rStyle w:val="FootnoteReference"/>
          <w:szCs w:val="24"/>
        </w:rPr>
        <w:footnoteReference w:id="6"/>
      </w:r>
      <w:r w:rsidRPr="00F4677C">
        <w:t>,</w:t>
      </w:r>
    </w:p>
    <w:p w:rsidR="00F64B90" w:rsidRPr="00F4677C" w:rsidRDefault="00F64B90" w:rsidP="00F64B90">
      <w:pPr>
        <w:pStyle w:val="NormalHanging12a"/>
      </w:pPr>
      <w:r w:rsidRPr="00F4677C">
        <w:t>–</w:t>
      </w:r>
      <w:r w:rsidRPr="00F4677C">
        <w:tab/>
        <w:t>atsižvelgdamas į 1999 m. birželio 28 d. Tarybos sprendimo 1999/468/EB, nustatančio Komisijos naudojimosi jai suteiktais įgyvendinimo įgaliojimais tvarką</w:t>
      </w:r>
      <w:r w:rsidRPr="00F4677C">
        <w:rPr>
          <w:rStyle w:val="FootnoteReference"/>
        </w:rPr>
        <w:footnoteReference w:id="7"/>
      </w:r>
      <w:r w:rsidRPr="00F4677C">
        <w:t>, 5a straipsnio 3 dalies b punktą ir 5a straipsnio 5 dalį,</w:t>
      </w:r>
    </w:p>
    <w:p w:rsidR="00F64B90" w:rsidRPr="00F4677C" w:rsidRDefault="00F64B90" w:rsidP="00F64B90">
      <w:pPr>
        <w:pStyle w:val="NormalHanging12a"/>
      </w:pPr>
      <w:r w:rsidRPr="00F4677C">
        <w:t>–</w:t>
      </w:r>
      <w:r w:rsidRPr="00F4677C">
        <w:tab/>
        <w:t>atsižvelgdamas į Darbo tvarkos taisyklių 115 straipsnio 2 ir 3 dalis ir 4 dalies c punktą,</w:t>
      </w:r>
    </w:p>
    <w:p w:rsidR="00F64B90" w:rsidRPr="00F4677C" w:rsidRDefault="00F64B90" w:rsidP="00F64B90">
      <w:pPr>
        <w:pStyle w:val="NormalHanging12a"/>
      </w:pPr>
      <w:r w:rsidRPr="00F4677C">
        <w:t>–</w:t>
      </w:r>
      <w:r w:rsidRPr="00F4677C">
        <w:tab/>
        <w:t>atsižvelgdamas į Aplinkos, visuomenės sveikatos ir maisto saugos komiteto pasiūlymą dėl rezoliucijos,</w:t>
      </w:r>
    </w:p>
    <w:p w:rsidR="00F64B90" w:rsidRPr="00F4677C" w:rsidRDefault="00F64B90" w:rsidP="00F64B90">
      <w:pPr>
        <w:pStyle w:val="NormalHanging12a"/>
      </w:pPr>
      <w:r w:rsidRPr="00F4677C">
        <w:t>A.</w:t>
      </w:r>
      <w:r w:rsidRPr="00F4677C">
        <w:tab/>
        <w:t>kadangi per 2024 m. pirmąjį pusmetį vykusių ūkininkų protestų vienas iš pagrindinių reikalavimų buvo teisingas ir vienodas požiūris į iš trečiųjų valstybių importuojamus produktus, kurie turėtų atitikti tuos pačius standartus kaip ir Sąjungoje pagaminti produktai;</w:t>
      </w:r>
    </w:p>
    <w:p w:rsidR="00F64B90" w:rsidRPr="00F4677C" w:rsidRDefault="00F64B90" w:rsidP="00F64B90">
      <w:pPr>
        <w:pStyle w:val="NormalHanging12a"/>
      </w:pPr>
      <w:r w:rsidRPr="00F4677C">
        <w:t>B.</w:t>
      </w:r>
      <w:r w:rsidRPr="00F4677C">
        <w:tab/>
        <w:t>kadangi priėmus Komisijos reglamento projektą būtų galima ir toliau importuoti į Sąjungą produktus, neatitinkančius standartų, kurių laikosi Sąjungos ūkininkai;</w:t>
      </w:r>
    </w:p>
    <w:p w:rsidR="00F64B90" w:rsidRPr="00F4677C" w:rsidRDefault="00F64B90" w:rsidP="00F64B90">
      <w:pPr>
        <w:pStyle w:val="NormalHanging12a"/>
      </w:pPr>
      <w:r w:rsidRPr="00F4677C">
        <w:t>C.</w:t>
      </w:r>
      <w:r w:rsidRPr="00F4677C">
        <w:tab/>
        <w:t>kadangi dėl tokios padėties Sąjungos ūkininkai atsidurtų nepalankioje konkurencinėje padėtyje;</w:t>
      </w:r>
    </w:p>
    <w:p w:rsidR="00F64B90" w:rsidRPr="00F4677C" w:rsidRDefault="00F64B90" w:rsidP="00F64B90">
      <w:pPr>
        <w:pStyle w:val="NormalHanging12a"/>
      </w:pPr>
      <w:r w:rsidRPr="00F4677C">
        <w:t>D.</w:t>
      </w:r>
      <w:r w:rsidRPr="00F4677C">
        <w:tab/>
        <w:t xml:space="preserve">kadangi </w:t>
      </w:r>
      <w:proofErr w:type="spellStart"/>
      <w:r w:rsidRPr="00F4677C">
        <w:t>ciprokonazolas</w:t>
      </w:r>
      <w:proofErr w:type="spellEnd"/>
      <w:r w:rsidRPr="00F4677C">
        <w:t xml:space="preserve"> yra </w:t>
      </w:r>
      <w:proofErr w:type="spellStart"/>
      <w:r w:rsidRPr="00F4677C">
        <w:t>azolų</w:t>
      </w:r>
      <w:proofErr w:type="spellEnd"/>
      <w:r w:rsidRPr="00F4677C">
        <w:t xml:space="preserve"> klasės fungicidas, daugiausia naudojamas grūdinėms kultūroms, kavai, cukriniams runkeliams, obuoliams ir vynuogėms bei žemės riešutams;</w:t>
      </w:r>
    </w:p>
    <w:p w:rsidR="00F64B90" w:rsidRPr="00F4677C" w:rsidRDefault="00F64B90" w:rsidP="00F64B90">
      <w:pPr>
        <w:pStyle w:val="NormalHanging12a"/>
      </w:pPr>
      <w:r w:rsidRPr="00F4677C">
        <w:t>E.</w:t>
      </w:r>
      <w:r w:rsidRPr="00F4677C">
        <w:tab/>
        <w:t xml:space="preserve">kadangi veikliosios medžiagos </w:t>
      </w:r>
      <w:proofErr w:type="spellStart"/>
      <w:r w:rsidRPr="00F4677C">
        <w:t>ciprokonazolo</w:t>
      </w:r>
      <w:proofErr w:type="spellEnd"/>
      <w:r w:rsidRPr="00F4677C">
        <w:t xml:space="preserve"> patvirtinimas nustojo galioti 2021 m. gegužės 31 d.; kadangi paraiška dėl atnaujinimo buvo pateikta 2018 m. rugsėjo mėn., tačiau atsiimta 2018 m. gruodžio mėn.; kadangi panaikinti visi augalų apsaugos produktų, kurių sudėtyje yra </w:t>
      </w:r>
      <w:proofErr w:type="spellStart"/>
      <w:r w:rsidRPr="00F4677C">
        <w:t>ciprokonazolo</w:t>
      </w:r>
      <w:proofErr w:type="spellEnd"/>
      <w:r w:rsidRPr="00F4677C">
        <w:t>, leidimai;</w:t>
      </w:r>
    </w:p>
    <w:p w:rsidR="00F64B90" w:rsidRPr="00F4677C" w:rsidRDefault="00F64B90" w:rsidP="00F64B90">
      <w:pPr>
        <w:pStyle w:val="NormalHanging12a"/>
      </w:pPr>
      <w:r w:rsidRPr="00F4677C">
        <w:t>F.</w:t>
      </w:r>
      <w:r w:rsidRPr="00F4677C">
        <w:tab/>
        <w:t xml:space="preserve">kadangi </w:t>
      </w:r>
      <w:proofErr w:type="spellStart"/>
      <w:r w:rsidRPr="00F4677C">
        <w:t>ciprokonazolas</w:t>
      </w:r>
      <w:proofErr w:type="spellEnd"/>
      <w:r w:rsidRPr="00F4677C">
        <w:t xml:space="preserve"> pagal Europos Parlamento ir Tarybos reglamentą </w:t>
      </w:r>
      <w:r w:rsidRPr="00F4677C">
        <w:lastRenderedPageBreak/>
        <w:t>(EB) Nr. 1272/2008</w:t>
      </w:r>
      <w:r w:rsidRPr="00F4677C">
        <w:rPr>
          <w:rStyle w:val="FootnoteReference"/>
        </w:rPr>
        <w:footnoteReference w:id="8"/>
      </w:r>
      <w:r w:rsidRPr="00F4677C">
        <w:t xml:space="preserve"> priskiriamas prie 1B kategorijos toksiškų reprodukcijai medžiagų, yra toksiška ją prarijus (3 kategorijos ūmus </w:t>
      </w:r>
      <w:proofErr w:type="spellStart"/>
      <w:r w:rsidRPr="00F4677C">
        <w:t>toksiškumas</w:t>
      </w:r>
      <w:proofErr w:type="spellEnd"/>
      <w:r w:rsidRPr="00F4677C">
        <w:t xml:space="preserve">), toksiška kepenims (STOT RE 2) ir labai toksiška vandens organizmams (1 kategorijos ūmus </w:t>
      </w:r>
      <w:proofErr w:type="spellStart"/>
      <w:r w:rsidRPr="00F4677C">
        <w:t>toksiškumas</w:t>
      </w:r>
      <w:proofErr w:type="spellEnd"/>
      <w:r w:rsidRPr="00F4677C">
        <w:t xml:space="preserve"> vandens organizmams) ir ilgalaikio poveikio labai toksiška vandens organizmams (1 kategorijos lėtinio </w:t>
      </w:r>
      <w:proofErr w:type="spellStart"/>
      <w:r w:rsidRPr="00F4677C">
        <w:t>toksiškumo</w:t>
      </w:r>
      <w:proofErr w:type="spellEnd"/>
      <w:r w:rsidRPr="00F4677C">
        <w:t xml:space="preserve"> vandens aplinkai)</w:t>
      </w:r>
      <w:r w:rsidRPr="00F4677C">
        <w:rPr>
          <w:rStyle w:val="FootnoteReference"/>
        </w:rPr>
        <w:footnoteReference w:id="9"/>
      </w:r>
      <w:r w:rsidRPr="00F4677C">
        <w:t>;</w:t>
      </w:r>
    </w:p>
    <w:p w:rsidR="00F64B90" w:rsidRPr="00F4677C" w:rsidRDefault="00F64B90" w:rsidP="00F64B90">
      <w:pPr>
        <w:pStyle w:val="NormalHanging12a"/>
      </w:pPr>
      <w:r w:rsidRPr="00F4677C">
        <w:t>G.</w:t>
      </w:r>
      <w:r w:rsidRPr="00F4677C">
        <w:tab/>
        <w:t xml:space="preserve">kadangi </w:t>
      </w:r>
      <w:proofErr w:type="spellStart"/>
      <w:r w:rsidRPr="00F4677C">
        <w:t>ciprokonazolas</w:t>
      </w:r>
      <w:proofErr w:type="spellEnd"/>
      <w:r w:rsidRPr="00F4677C">
        <w:t xml:space="preserve"> priklauso </w:t>
      </w:r>
      <w:proofErr w:type="spellStart"/>
      <w:r w:rsidRPr="00F4677C">
        <w:t>ergosterolio</w:t>
      </w:r>
      <w:proofErr w:type="spellEnd"/>
      <w:r w:rsidRPr="00F4677C">
        <w:t xml:space="preserve"> </w:t>
      </w:r>
      <w:proofErr w:type="spellStart"/>
      <w:r w:rsidRPr="00F4677C">
        <w:t>biosintezės</w:t>
      </w:r>
      <w:proofErr w:type="spellEnd"/>
      <w:r w:rsidRPr="00F4677C">
        <w:t xml:space="preserve"> inhibitorių </w:t>
      </w:r>
      <w:proofErr w:type="spellStart"/>
      <w:r w:rsidRPr="00F4677C">
        <w:t>triazolo</w:t>
      </w:r>
      <w:proofErr w:type="spellEnd"/>
      <w:r w:rsidRPr="00F4677C">
        <w:t xml:space="preserve"> grupei ir todėl gali sukelti endokrininės sistemos ardymo poveikį</w:t>
      </w:r>
      <w:r w:rsidRPr="00F4677C">
        <w:rPr>
          <w:rStyle w:val="FootnoteReference"/>
        </w:rPr>
        <w:footnoteReference w:id="10"/>
      </w:r>
      <w:r w:rsidRPr="00F4677C">
        <w:t>; kadangi EFSA nevertino endokrininės sistemos ardymo potencialo pagal mokslinius endokrininės sistemos ardomųjų savybių nustatymo kriterijus, nustatytus nuo 2018 m. lapkričio 10 d. taikomame Komisijos reglamente (ES) 2018/605</w:t>
      </w:r>
      <w:r w:rsidRPr="00F4677C">
        <w:rPr>
          <w:rStyle w:val="FootnoteReference"/>
        </w:rPr>
        <w:footnoteReference w:id="11"/>
      </w:r>
      <w:r w:rsidRPr="00F4677C">
        <w:t>; kadangi su endokrinine sistema susijęs poveikis dažnai pasireiškia esant mažoms dozėms, ir endokrininę sistemą ardančioms medžiagoms dažnai nėra saugios ribos</w:t>
      </w:r>
      <w:r w:rsidRPr="00F4677C">
        <w:rPr>
          <w:rStyle w:val="FootnoteReference"/>
        </w:rPr>
        <w:footnoteReference w:id="12"/>
      </w:r>
      <w:r w:rsidRPr="00F4677C">
        <w:t>;</w:t>
      </w:r>
    </w:p>
    <w:p w:rsidR="00F64B90" w:rsidRPr="00F4677C" w:rsidRDefault="00F64B90" w:rsidP="00F64B90">
      <w:pPr>
        <w:pStyle w:val="NormalHanging12a"/>
      </w:pPr>
      <w:r w:rsidRPr="00F4677C">
        <w:t>H.</w:t>
      </w:r>
      <w:r w:rsidRPr="00F4677C">
        <w:tab/>
        <w:t xml:space="preserve">kadangi vis daugiau publikacijų pabrėžiama, kad </w:t>
      </w:r>
      <w:proofErr w:type="spellStart"/>
      <w:r w:rsidRPr="00F4677C">
        <w:t>azolo</w:t>
      </w:r>
      <w:proofErr w:type="spellEnd"/>
      <w:r w:rsidRPr="00F4677C">
        <w:t xml:space="preserve"> fungicidai yra svarbus didėjančio aplinkos atsparumo </w:t>
      </w:r>
      <w:proofErr w:type="spellStart"/>
      <w:r w:rsidRPr="00F4677C">
        <w:rPr>
          <w:i/>
        </w:rPr>
        <w:t>Aspergillus</w:t>
      </w:r>
      <w:proofErr w:type="spellEnd"/>
      <w:r w:rsidRPr="00F4677C">
        <w:t xml:space="preserve"> </w:t>
      </w:r>
      <w:proofErr w:type="spellStart"/>
      <w:r w:rsidRPr="00F4677C">
        <w:t>spp</w:t>
      </w:r>
      <w:proofErr w:type="spellEnd"/>
      <w:r w:rsidRPr="00F4677C">
        <w:t>. atvejų šaltinis</w:t>
      </w:r>
      <w:r w:rsidRPr="00F4677C">
        <w:rPr>
          <w:rStyle w:val="FootnoteReference"/>
        </w:rPr>
        <w:footnoteReference w:id="13"/>
      </w:r>
      <w:r w:rsidRPr="00F4677C">
        <w:t xml:space="preserve">; kadangi Komisija paprašė EFSA įvertinti </w:t>
      </w:r>
      <w:proofErr w:type="spellStart"/>
      <w:r w:rsidRPr="00F4677C">
        <w:t>azolo</w:t>
      </w:r>
      <w:proofErr w:type="spellEnd"/>
      <w:r w:rsidRPr="00F4677C">
        <w:t xml:space="preserve"> fungicidų, išskyrus žmonėms skirtus vaistus, naudojimo poveikį </w:t>
      </w:r>
      <w:proofErr w:type="spellStart"/>
      <w:r w:rsidRPr="00F4677C">
        <w:t>azolui</w:t>
      </w:r>
      <w:proofErr w:type="spellEnd"/>
      <w:r w:rsidRPr="00F4677C">
        <w:t xml:space="preserve"> atsparių </w:t>
      </w:r>
      <w:proofErr w:type="spellStart"/>
      <w:r w:rsidRPr="00F4677C">
        <w:rPr>
          <w:i/>
        </w:rPr>
        <w:t>Aspergillus</w:t>
      </w:r>
      <w:proofErr w:type="spellEnd"/>
      <w:r w:rsidRPr="00F4677C">
        <w:t xml:space="preserve"> </w:t>
      </w:r>
      <w:proofErr w:type="spellStart"/>
      <w:r w:rsidRPr="00F4677C">
        <w:t>spp</w:t>
      </w:r>
      <w:proofErr w:type="spellEnd"/>
      <w:r w:rsidRPr="00F4677C">
        <w:t>. vystymuisi; kadangi prašoma mokslinė ataskaita dar nepaskelbta ir tikimasi, kad ji bus baigta tik 2024 m. gruodžio mėn.</w:t>
      </w:r>
      <w:r w:rsidRPr="00F4677C">
        <w:rPr>
          <w:rStyle w:val="FootnoteReference"/>
        </w:rPr>
        <w:footnoteReference w:id="14"/>
      </w:r>
      <w:r w:rsidRPr="00F4677C">
        <w:t>;</w:t>
      </w:r>
    </w:p>
    <w:p w:rsidR="00F64B90" w:rsidRPr="00F4677C" w:rsidRDefault="00F64B90" w:rsidP="00F64B90">
      <w:pPr>
        <w:pStyle w:val="NormalHanging12a"/>
      </w:pPr>
      <w:r w:rsidRPr="00F4677C">
        <w:rPr>
          <w:color w:val="000000" w:themeColor="text1"/>
        </w:rPr>
        <w:t>I.</w:t>
      </w:r>
      <w:r w:rsidRPr="00F4677C">
        <w:rPr>
          <w:color w:val="000000" w:themeColor="text1"/>
        </w:rPr>
        <w:tab/>
      </w:r>
      <w:r w:rsidRPr="00F4677C">
        <w:t xml:space="preserve">kadangi dėl to tikslinga išbraukti Reglamento (EB) Nr. 396/2005 II priede nustatytą esamą didžiausią leidžiamąją </w:t>
      </w:r>
      <w:proofErr w:type="spellStart"/>
      <w:r w:rsidRPr="00F4677C">
        <w:t>ciprokonazolo</w:t>
      </w:r>
      <w:proofErr w:type="spellEnd"/>
      <w:r w:rsidRPr="00F4677C">
        <w:t xml:space="preserve"> liekanų koncentraciją (DLK) vadovaujantis to reglamento 17 straipsniu, pagal kurį Komisija turi išbraukti to reglamento II ir III prieduose nustatytą DLK ir taikyti numatytąją 0,01 mg/kg vertę arba atitinkamą nustatymo ribą, neprašydama EFSA nuomonės dėl veikliosios medžiagos, jei tos </w:t>
      </w:r>
      <w:r w:rsidRPr="00F4677C">
        <w:lastRenderedPageBreak/>
        <w:t>medžiagos leidimas panaikintas;</w:t>
      </w:r>
    </w:p>
    <w:p w:rsidR="00F64B90" w:rsidRPr="00F4677C" w:rsidRDefault="00F64B90" w:rsidP="00F64B90">
      <w:pPr>
        <w:pStyle w:val="NormalHanging12a"/>
      </w:pPr>
      <w:r w:rsidRPr="00F4677C">
        <w:t>J.</w:t>
      </w:r>
      <w:r w:rsidRPr="00F4677C">
        <w:tab/>
        <w:t>kadangi vis dėlto Komisijos reglamento projekte Komisija siūlo išlaikyti dideliam kiekiui produktų (grūdų, sėklų, mėsos, kepenų ir inkstų) taikomas DLK, viršijančias atitinkamą nustatymo ribą arba numatytąją 0,01 mg/kg DLK, remdamasi Maisto kodekso komisijos nustatytomis DLK (CLX);</w:t>
      </w:r>
    </w:p>
    <w:p w:rsidR="00F64B90" w:rsidRPr="00F4677C" w:rsidRDefault="00F64B90" w:rsidP="00F64B90">
      <w:pPr>
        <w:pStyle w:val="NormalHanging12a"/>
      </w:pPr>
      <w:r w:rsidRPr="00F4677C">
        <w:t>K.</w:t>
      </w:r>
      <w:r w:rsidRPr="00F4677C">
        <w:tab/>
      </w:r>
      <w:r w:rsidRPr="00F4677C">
        <w:rPr>
          <w:color w:val="000000" w:themeColor="text1"/>
        </w:rPr>
        <w:t>kadangi Komisija siūlo žirniams (be ankščių), pupelėms, pupoms, miežiams, grikiams ir kitoms javams prilyginamoms kultūroms, kukurūzams, tikrosioms soroms, avižoms, rugiams, kviečiams, kavos pupelėms ir cukriniams runkeliams, kiaulių, galvijų, avių, ožkų ir arklių raumenims ir riebalams, naminių paukščių raumenims, riebalams ir kepenims, galvijų, avių, ožkų ir arklių pienui ir paukščių kiaušiniams nustatyti DLK, lygias CXL; kadangi tai reiškia, kad kiaulių, galvijų, avių, ožkų ir arklių kepenims ir inkstams būtų taikoma esama 0,5 mg/kg DLK, rapsų sėkloms – 0,4 mg/kg, o sojoms – 0,07 mg/kg; kadangi visiems kitiems produktams, kuriems nėra nustatytų CXL arba leidžiamųjų importo nuokrypių, DLK sumažinamos iki konkretiems produktams taikomų nustatymo ribų, kurios svyruoja nuo 0,01 iki 0,05 mg/kg;</w:t>
      </w:r>
    </w:p>
    <w:p w:rsidR="00F64B90" w:rsidRPr="00F4677C" w:rsidRDefault="00F64B90" w:rsidP="00F64B90">
      <w:pPr>
        <w:pStyle w:val="NormalHanging12a"/>
      </w:pPr>
      <w:r w:rsidRPr="00F4677C">
        <w:t>L.</w:t>
      </w:r>
      <w:r w:rsidRPr="00F4677C">
        <w:tab/>
        <w:t xml:space="preserve">kadangi 2024 m. Komisija sumažino </w:t>
      </w:r>
      <w:proofErr w:type="spellStart"/>
      <w:r w:rsidRPr="00F4677C">
        <w:t>tiakloprido</w:t>
      </w:r>
      <w:proofErr w:type="spellEnd"/>
      <w:r w:rsidRPr="00F4677C">
        <w:t xml:space="preserve"> – veikliosios medžiagos, priskiriamos prie 1B kategorijos toksiškų reprodukcijai medžiagų, DLK iki atitinkamos nustatymo ribos, teigdama, kad „kol Tarnyba priims šio papildomo rizikos vertinimo [dėl poveikio endokrininei sistemai] išvadą ir atsižvelgiant į turimą susijusią informaciją apie galimą žalingą poveikį žmonių sveikatai, tikslinga laikinai sumažinti DLK ... [taikomą šiems produktams]“</w:t>
      </w:r>
      <w:r w:rsidRPr="00F4677C">
        <w:rPr>
          <w:rStyle w:val="FootnoteReference"/>
        </w:rPr>
        <w:footnoteReference w:id="15"/>
      </w:r>
      <w:r w:rsidRPr="00F4677C">
        <w:t>;</w:t>
      </w:r>
    </w:p>
    <w:p w:rsidR="00F64B90" w:rsidRPr="00F4677C" w:rsidRDefault="00F64B90" w:rsidP="00F64B90">
      <w:pPr>
        <w:pStyle w:val="NormalHanging12a"/>
      </w:pPr>
      <w:r w:rsidRPr="00F4677C">
        <w:t>M.</w:t>
      </w:r>
      <w:r w:rsidRPr="00F4677C">
        <w:tab/>
        <w:t xml:space="preserve">kadangi Reglamento (EB) Nr. 396/2005 5 konstatuojamojoje dalyje nustatyta, kad liekanų kiekis neturėtų kelti nepriimtinos rizikos žmonėms ir, kai taikoma, gyvūnams; </w:t>
      </w:r>
    </w:p>
    <w:p w:rsidR="00F64B90" w:rsidRPr="00F4677C" w:rsidRDefault="00F64B90" w:rsidP="00F64B90">
      <w:pPr>
        <w:pStyle w:val="NormalHanging12a"/>
      </w:pPr>
      <w:r w:rsidRPr="00F4677C">
        <w:t>N.</w:t>
      </w:r>
      <w:r w:rsidRPr="00F4677C">
        <w:tab/>
        <w:t>kadangi Reglamento (EB) Nr. 1107/2009 4 straipsnio 2 dalies pirmos pastraipos a punkte nustatyta, kad augalų apsaugos produktų liekanos negali turėti jokio kenksmingo poveikio žmonių, įskaitant pažeidžiamas grupes, ar gyvūnų sveikatai, atsižvelgiant į žinomą kumuliacinį ir sinerginį poveikį; kadangi to reglamento II priedo 3.6.4 punkte nustatyta, kad veiklioji medžiaga, pagal Reglamentą (EB) Nr. 1272/2008 priskiriama prie 1A ar 1B kategorijos toksiškų reprodukcijai medžiagų, negali būti patvirtinama, nebent „atitinkamos veikliosios medžiagos [...] likučiai maiste ir pašaruose neviršija pagal Reglamento (EB) Nr. 396/2005 18 straipsnio 1 dalies b punktą nustatytos numatytosios vertės“; kadangi Reglamento (EB) Nr. 396/2005 18 straipsnio 1 dalies b punkte nustatyta 0,01 mg/kg numatytoji vertė;</w:t>
      </w:r>
    </w:p>
    <w:p w:rsidR="00F64B90" w:rsidRPr="00F4677C" w:rsidRDefault="00F64B90" w:rsidP="00F64B90">
      <w:pPr>
        <w:pStyle w:val="NormalHanging12a"/>
      </w:pPr>
      <w:r w:rsidRPr="00F4677C">
        <w:t>O.</w:t>
      </w:r>
      <w:r w:rsidRPr="00F4677C">
        <w:tab/>
        <w:t xml:space="preserve">kadangi Reglamento (EB) Nr. 396/2005 3 straipsnio 2 dalies g punkte nustatyta, kad leidžiamasis importo nuokrypis – tai importuojamiems produktams nustatyta DLK, kai „Bendrijoje neleidžiamas veikliosios medžiagos naudojimas augalų apsaugos produkte tam tikram produktui dėl kitų priežasčių nei visuomenės sveikata specialiam produktui ir specialiam naudojimui“; kadangi </w:t>
      </w:r>
      <w:proofErr w:type="spellStart"/>
      <w:r w:rsidRPr="00F4677C">
        <w:t>ciprokonazolas</w:t>
      </w:r>
      <w:proofErr w:type="spellEnd"/>
      <w:r w:rsidRPr="00F4677C">
        <w:t xml:space="preserve"> neatitinka tų kriterijų, nes jis priskiriamas prie 1B kategorijos toksiškų reprodukcijai medžiagų ir todėl buvo uždraustas dėl sveikatos priežasčių;</w:t>
      </w:r>
    </w:p>
    <w:p w:rsidR="00F64B90" w:rsidRPr="00F4677C" w:rsidRDefault="00F64B90" w:rsidP="00F64B90">
      <w:pPr>
        <w:pStyle w:val="NormalHanging12a"/>
      </w:pPr>
      <w:r w:rsidRPr="00F4677C">
        <w:t>P.</w:t>
      </w:r>
      <w:r w:rsidRPr="00F4677C">
        <w:tab/>
        <w:t xml:space="preserve">kadangi Reglamento (EB) Nr. 178/2002 5 straipsnio 1 dalyje teigiama, kad maisto </w:t>
      </w:r>
      <w:r w:rsidRPr="00F4677C">
        <w:lastRenderedPageBreak/>
        <w:t>produktus reglamentuojančiais teisės aktais siekiama vieno arba daugiau bendrųjų tikslų: aukšto lygio žmonių sveikatos apsaugos ir vartotojų interesų apsaugos, įskaitant sąžiningos prekybos maistu praktiką, atitinkamai atsižvelgiant į gyvūnų sveikatos ir gerovės, augalų sveikatos ir aplinkos apsaugą;</w:t>
      </w:r>
    </w:p>
    <w:p w:rsidR="00F64B90" w:rsidRPr="00F4677C" w:rsidRDefault="00F64B90" w:rsidP="00F64B90">
      <w:pPr>
        <w:pStyle w:val="NormalHanging12a"/>
      </w:pPr>
      <w:r w:rsidRPr="00F4677C">
        <w:t>Q.</w:t>
      </w:r>
      <w:r w:rsidRPr="00F4677C">
        <w:tab/>
        <w:t>kadangi Komisija savo 2020 m. gegužės 20 d. komunikate „Sąžininga, sveika ir aplinkai palanki maisto sistema pagal strategiją „Nuo ūkio iki stalo“</w:t>
      </w:r>
      <w:r w:rsidRPr="00F4677C">
        <w:rPr>
          <w:rStyle w:val="FootnoteReference"/>
        </w:rPr>
        <w:footnoteReference w:id="16"/>
      </w:r>
      <w:r w:rsidRPr="00F4677C">
        <w:t xml:space="preserve"> paskelbė, kad „ES rems visuotinį perėjimą prie tvarių žemės ūkio maisto produktų sistemų, vadovaudamasi šios strategijos ir darnaus vystymosi tikslais“ ir kad „[š]i strategija gali padėti Europos Sąjungai atlikti svarbų vaidmenį nustatant pasaulinius standartus“; kadangi Komisija strategijoje aiškiai nurodė, kad „tvaresnei ES maisto sistemai taip pat reikalinga vis tvaresnė mūsų prekybos partnerių praktika; siekdama skatinti laipsniškai pereiti prie saugesnių augalų apsaugos produktų, ES, laikydamasi PPO taisyklių ir atlikusi rizikos vertinimą, apsvarstys galimybę peržiūrėti medžiagų, kurios atitinka atmetimo kriterijus ir kelia didelę riziką žmonių sveikatai, leistino importo nuokrypius“;</w:t>
      </w:r>
    </w:p>
    <w:p w:rsidR="00F64B90" w:rsidRPr="00F4677C" w:rsidRDefault="00F64B90" w:rsidP="00F64B90">
      <w:pPr>
        <w:pStyle w:val="NormalHanging12a"/>
      </w:pPr>
      <w:r w:rsidRPr="00F4677C">
        <w:t>R.</w:t>
      </w:r>
      <w:r w:rsidRPr="00F4677C">
        <w:tab/>
        <w:t xml:space="preserve">kadangi didelių DLK nustatymo praktika propaguoja dvigubus standartus, taikomus Sąjungos ūkininkams ir trečiųjų valstybių ūkininkams, nes ne Sąjungos ūkininkai gali toliau gaminti atitinkamus maisto produktus naudodami </w:t>
      </w:r>
      <w:proofErr w:type="spellStart"/>
      <w:r w:rsidRPr="00F4677C">
        <w:t>ciprokonazolą</w:t>
      </w:r>
      <w:proofErr w:type="spellEnd"/>
      <w:r w:rsidRPr="00F4677C">
        <w:t xml:space="preserve"> ir juos eksportuoti į Sąjungą, ir Sąjungos ūkininkai atsiduria nepalankioje konkurencinėje padėtyje; kadangi, kita vertus, šio pesticido naudojimas kelia pavojų žemės ūkio darbuotojų sveikatai, gyventojų sveikatai ir aplinkai valstybėse gamintojose;</w:t>
      </w:r>
    </w:p>
    <w:p w:rsidR="00F64B90" w:rsidRPr="00F4677C" w:rsidRDefault="00F64B90" w:rsidP="00F64B90">
      <w:pPr>
        <w:pStyle w:val="NormalHanging12a"/>
      </w:pPr>
      <w:r w:rsidRPr="00F4677C">
        <w:t>S.</w:t>
      </w:r>
      <w:r w:rsidRPr="00F4677C">
        <w:tab/>
        <w:t>kadangi SESV 191 straipsnio 2 dalyje atsargumo principas įtvirtintas kaip vienas iš pagrindinių Sąjungos principų;</w:t>
      </w:r>
    </w:p>
    <w:p w:rsidR="00F64B90" w:rsidRPr="00F4677C" w:rsidRDefault="00F64B90" w:rsidP="00F64B90">
      <w:pPr>
        <w:pStyle w:val="NormalHanging12a"/>
      </w:pPr>
      <w:r w:rsidRPr="00F4677C">
        <w:t>T.</w:t>
      </w:r>
      <w:r w:rsidRPr="00F4677C">
        <w:tab/>
        <w:t>kadangi Komisija, remdamasi turima moksline informacija, privalo saugoti aplinką ir Sąjungos piliečius, vykdydama Reglamente (EB) Nr. 396/2005 ir Reglamente (EB) Nr. 178/2002 nustatytas pareigas ir naudodamasi juose numatytomis teisinėmis galimybėmis užtikrinti aukštą žmonių ir gyvūnų sveikatos bei aplinkos apsaugos lygį;</w:t>
      </w:r>
    </w:p>
    <w:p w:rsidR="00F64B90" w:rsidRPr="00F4677C" w:rsidRDefault="00F64B90" w:rsidP="00F64B90">
      <w:pPr>
        <w:pStyle w:val="NormalHanging12a"/>
      </w:pPr>
      <w:r w:rsidRPr="00F4677C">
        <w:t>U.</w:t>
      </w:r>
      <w:r w:rsidRPr="00F4677C">
        <w:tab/>
        <w:t>kadangi siūlomos DLK neužtikrina Sąjungos piliečių sveikatos apsaugos ir todėl prieštarauja reglamentams (EB) Nr. 396/2005 ir (EB) Nr. 178/2002;</w:t>
      </w:r>
    </w:p>
    <w:p w:rsidR="00F64B90" w:rsidRPr="00F4677C" w:rsidRDefault="00F64B90" w:rsidP="00F64B90">
      <w:pPr>
        <w:pStyle w:val="NormalHanging12a"/>
      </w:pPr>
      <w:r w:rsidRPr="00F4677C">
        <w:t>V.</w:t>
      </w:r>
      <w:r w:rsidRPr="00F4677C">
        <w:tab/>
        <w:t xml:space="preserve">kadangi veikliosioms medžiagoms, kurios nėra patvirtintos Sąjungoje dėl priežasčių, susijusių su sveikata, DLK vertės neturėtų būti nustatytos; kadangi dėl to jokia CXL vertė, viršijanti atitinkamą nustatymo ribą arba numatytąją 0,01 mg/kg vertę, neturėtų būti laikoma saugia vartotojams, nes </w:t>
      </w:r>
      <w:proofErr w:type="spellStart"/>
      <w:r w:rsidRPr="00F4677C">
        <w:t>ciprokonazolas</w:t>
      </w:r>
      <w:proofErr w:type="spellEnd"/>
      <w:r w:rsidRPr="00F4677C">
        <w:t xml:space="preserve"> priskiriamas prie 1B kategorijos toksiškų reprodukcijai medžiagų;</w:t>
      </w:r>
    </w:p>
    <w:p w:rsidR="00F64B90" w:rsidRPr="00F4677C" w:rsidRDefault="00F64B90" w:rsidP="00F64B90">
      <w:pPr>
        <w:pStyle w:val="NormalHanging12a"/>
      </w:pPr>
      <w:r w:rsidRPr="00F4677C">
        <w:t>W.</w:t>
      </w:r>
      <w:r w:rsidRPr="00F4677C">
        <w:tab/>
        <w:t xml:space="preserve"> kadangi nustatant DLK reikia atsižvelgti į kumuliacinį ir sinerginį poveikį ir itin svarbu skubiai parengti tinkamus šio vertinimo metodus;</w:t>
      </w:r>
    </w:p>
    <w:p w:rsidR="00F64B90" w:rsidRPr="00F4677C" w:rsidRDefault="00F64B90" w:rsidP="00F64B90">
      <w:pPr>
        <w:pStyle w:val="NormalHanging12a"/>
      </w:pPr>
      <w:r w:rsidRPr="00F4677C">
        <w:t>1.</w:t>
      </w:r>
      <w:r w:rsidRPr="00F4677C">
        <w:tab/>
        <w:t>prieštarauja Komisijos reglamento projekto priėmimui;</w:t>
      </w:r>
    </w:p>
    <w:p w:rsidR="00F64B90" w:rsidRPr="00F4677C" w:rsidRDefault="00F64B90" w:rsidP="00F64B90">
      <w:pPr>
        <w:pStyle w:val="NormalHanging12a"/>
        <w:rPr>
          <w:szCs w:val="24"/>
        </w:rPr>
      </w:pPr>
      <w:r w:rsidRPr="00F4677C">
        <w:t>2.</w:t>
      </w:r>
      <w:r w:rsidRPr="00F4677C">
        <w:tab/>
        <w:t>mano, kad Komisijos reglamento projektas nėra suderinamas su Reglamento (EB) Nr. 396/2005 ir Reglamento (EB) Nr. 178/2002 tikslais ir turiniu, taip pat su Reglamentu (EB) Nr. 1107/2009, įskaitant jo II priedo 3.6.4 punktą;</w:t>
      </w:r>
    </w:p>
    <w:p w:rsidR="00F64B90" w:rsidRPr="00F4677C" w:rsidRDefault="00F64B90" w:rsidP="00F64B90">
      <w:pPr>
        <w:pStyle w:val="NormalHanging12a"/>
      </w:pPr>
      <w:r w:rsidRPr="00F4677C">
        <w:t>3.</w:t>
      </w:r>
      <w:r w:rsidRPr="00F4677C">
        <w:tab/>
        <w:t xml:space="preserve">prašo Komisijos taikyti atsargumo principą, atsiimti savo reglamento projektą ir pateikti </w:t>
      </w:r>
      <w:r w:rsidRPr="00F4677C">
        <w:lastRenderedPageBreak/>
        <w:t>komitetui naują projektą;</w:t>
      </w:r>
    </w:p>
    <w:p w:rsidR="00F64B90" w:rsidRPr="00F4677C" w:rsidRDefault="00F64B90" w:rsidP="00F64B90">
      <w:pPr>
        <w:pStyle w:val="NormalHanging12a"/>
      </w:pPr>
      <w:r w:rsidRPr="00F4677C">
        <w:t>4.</w:t>
      </w:r>
      <w:r w:rsidRPr="00F4677C">
        <w:tab/>
        <w:t xml:space="preserve">ragina Komisiją pateikti komitetui naujo reglamento projektą, pagal kurį visos DLK, taikomos </w:t>
      </w:r>
      <w:proofErr w:type="spellStart"/>
      <w:r w:rsidRPr="00F4677C">
        <w:t>ciprokonazolui</w:t>
      </w:r>
      <w:proofErr w:type="spellEnd"/>
      <w:r w:rsidRPr="00F4677C">
        <w:t>, būtų sumažintos iki nustatymo ribos arba 0,01 mg/kg numatytosios vertės visoms naudojimo paskirtims, ir atmesti visus prašymus dėl leistinų importo nuokrypių;</w:t>
      </w:r>
    </w:p>
    <w:p w:rsidR="00F64B90" w:rsidRPr="00F4677C" w:rsidRDefault="00F64B90" w:rsidP="00F64B90">
      <w:pPr>
        <w:pStyle w:val="NormalHanging12a"/>
      </w:pPr>
      <w:r w:rsidRPr="00F4677C">
        <w:t>5.</w:t>
      </w:r>
      <w:r w:rsidRPr="00F4677C">
        <w:tab/>
        <w:t>pripažįsta, kad EFSA kuria kumuliacinės rizikos vertinimo metodus, tačiau taip pat pažymi, kad pesticidų ir liekanų kumuliacinio poveikio vertinimo problema žinoma jau dešimtmečius; todėl prašo EFSA ir Komisijos spręsti šią problemą ypatingos skubos tvarka;</w:t>
      </w:r>
    </w:p>
    <w:p w:rsidR="00E365E1" w:rsidRPr="00F4677C" w:rsidRDefault="00F64B90" w:rsidP="00B63A5F">
      <w:pPr>
        <w:ind w:left="567" w:hanging="567"/>
      </w:pPr>
      <w:r w:rsidRPr="00F4677C">
        <w:t>6.</w:t>
      </w:r>
      <w:r w:rsidRPr="00F4677C">
        <w:tab/>
        <w:t xml:space="preserve">paveda Pirmininkei perduoti šią rezoliuciją Tarybai ir Komisijai bei valstybių narių vyriausybėms ir parlamentams. </w:t>
      </w:r>
      <w:bookmarkStart w:id="8" w:name="TextBodyEnd"/>
      <w:bookmarkEnd w:id="8"/>
    </w:p>
    <w:sectPr w:rsidR="00E365E1" w:rsidRPr="00F4677C" w:rsidSect="00F4677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6B10" w:rsidRPr="00F4677C" w:rsidRDefault="00676B10">
      <w:r w:rsidRPr="00F4677C">
        <w:separator/>
      </w:r>
    </w:p>
  </w:endnote>
  <w:endnote w:type="continuationSeparator" w:id="0">
    <w:p w:rsidR="00676B10" w:rsidRPr="00F4677C" w:rsidRDefault="00676B10">
      <w:r w:rsidRPr="00F467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77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77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7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6B10" w:rsidRPr="00F4677C" w:rsidRDefault="00676B10">
      <w:r w:rsidRPr="00F4677C">
        <w:separator/>
      </w:r>
    </w:p>
  </w:footnote>
  <w:footnote w:type="continuationSeparator" w:id="0">
    <w:p w:rsidR="00676B10" w:rsidRPr="00F4677C" w:rsidRDefault="00676B10">
      <w:r w:rsidRPr="00F4677C">
        <w:continuationSeparator/>
      </w:r>
    </w:p>
  </w:footnote>
  <w:footnote w:id="1">
    <w:p w:rsidR="00F64B90" w:rsidRPr="00C841E8" w:rsidRDefault="00F64B90" w:rsidP="00F4677C">
      <w:pPr>
        <w:pStyle w:val="FootnoteText"/>
        <w:ind w:left="567" w:hanging="567"/>
        <w:rPr>
          <w:sz w:val="24"/>
          <w:lang w:val="lt-LT"/>
        </w:rPr>
      </w:pPr>
      <w:r w:rsidRPr="00C841E8">
        <w:rPr>
          <w:rStyle w:val="FootnoteReference"/>
          <w:sz w:val="24"/>
          <w:lang w:val="lt-LT"/>
        </w:rPr>
        <w:footnoteRef/>
      </w:r>
      <w:r w:rsidR="00F4677C" w:rsidRPr="00C841E8">
        <w:rPr>
          <w:sz w:val="24"/>
          <w:lang w:val="lt-LT"/>
        </w:rPr>
        <w:t xml:space="preserve"> </w:t>
      </w:r>
      <w:r w:rsidR="00F4677C" w:rsidRPr="00C841E8">
        <w:rPr>
          <w:sz w:val="24"/>
          <w:lang w:val="lt-LT"/>
        </w:rPr>
        <w:tab/>
      </w:r>
      <w:r w:rsidRPr="00C841E8">
        <w:rPr>
          <w:sz w:val="24"/>
          <w:lang w:val="lt-LT"/>
        </w:rPr>
        <w:t>OL L 70, 2005 3 16, p. 1.</w:t>
      </w:r>
    </w:p>
  </w:footnote>
  <w:footnote w:id="2">
    <w:p w:rsidR="00F64B90" w:rsidRPr="00C841E8" w:rsidRDefault="00F64B90" w:rsidP="00F4677C">
      <w:pPr>
        <w:pStyle w:val="FootnoteText"/>
        <w:ind w:left="567" w:hanging="567"/>
        <w:rPr>
          <w:sz w:val="24"/>
          <w:lang w:val="lt-LT"/>
        </w:rPr>
      </w:pPr>
      <w:r w:rsidRPr="00C841E8">
        <w:rPr>
          <w:rStyle w:val="FootnoteReference"/>
          <w:sz w:val="24"/>
          <w:lang w:val="lt-LT"/>
        </w:rPr>
        <w:footnoteRef/>
      </w:r>
      <w:r w:rsidR="00F4677C" w:rsidRPr="00C841E8">
        <w:rPr>
          <w:sz w:val="24"/>
          <w:lang w:val="lt-LT"/>
        </w:rPr>
        <w:t xml:space="preserve"> </w:t>
      </w:r>
      <w:r w:rsidR="00F4677C" w:rsidRPr="00C841E8">
        <w:rPr>
          <w:sz w:val="24"/>
          <w:lang w:val="lt-LT"/>
        </w:rPr>
        <w:tab/>
      </w:r>
      <w:r w:rsidRPr="00C841E8">
        <w:rPr>
          <w:sz w:val="24"/>
          <w:lang w:val="lt-LT"/>
        </w:rPr>
        <w:t>OL L 309, 2009 11 24, p. 1.</w:t>
      </w:r>
    </w:p>
  </w:footnote>
  <w:footnote w:id="3">
    <w:p w:rsidR="00F64B90" w:rsidRPr="00C841E8" w:rsidRDefault="00F64B90" w:rsidP="00F4677C">
      <w:pPr>
        <w:pStyle w:val="FootnoteText"/>
        <w:ind w:left="567" w:hanging="567"/>
        <w:rPr>
          <w:sz w:val="24"/>
          <w:lang w:val="lt-LT"/>
        </w:rPr>
      </w:pPr>
      <w:r w:rsidRPr="00C841E8">
        <w:rPr>
          <w:rStyle w:val="FootnoteReference"/>
          <w:sz w:val="24"/>
          <w:lang w:val="lt-LT"/>
        </w:rPr>
        <w:footnoteRef/>
      </w:r>
      <w:r w:rsidR="00F4677C" w:rsidRPr="00C841E8">
        <w:rPr>
          <w:sz w:val="24"/>
          <w:lang w:val="lt-LT"/>
        </w:rPr>
        <w:t xml:space="preserve"> </w:t>
      </w:r>
      <w:r w:rsidR="00F4677C" w:rsidRPr="00C841E8">
        <w:rPr>
          <w:sz w:val="24"/>
          <w:lang w:val="lt-LT"/>
        </w:rPr>
        <w:tab/>
      </w:r>
      <w:r w:rsidRPr="00C841E8">
        <w:rPr>
          <w:sz w:val="24"/>
          <w:lang w:val="lt-LT"/>
        </w:rPr>
        <w:t>OL L 31, 2002 2 1, p. 1.</w:t>
      </w:r>
    </w:p>
  </w:footnote>
  <w:footnote w:id="4">
    <w:p w:rsidR="00F64B90" w:rsidRPr="00C841E8" w:rsidRDefault="00F64B90" w:rsidP="00F4677C">
      <w:pPr>
        <w:pStyle w:val="FootnoteText"/>
        <w:ind w:left="567" w:hanging="567"/>
        <w:rPr>
          <w:sz w:val="24"/>
          <w:lang w:val="lt-LT"/>
        </w:rPr>
      </w:pPr>
      <w:r w:rsidRPr="00C841E8">
        <w:rPr>
          <w:rStyle w:val="FootnoteReference"/>
          <w:sz w:val="24"/>
          <w:lang w:val="lt-LT"/>
        </w:rPr>
        <w:footnoteRef/>
      </w:r>
      <w:r w:rsidR="00F4677C" w:rsidRPr="00C841E8">
        <w:rPr>
          <w:sz w:val="24"/>
          <w:lang w:val="lt-LT"/>
        </w:rPr>
        <w:t xml:space="preserve"> </w:t>
      </w:r>
      <w:r w:rsidR="00F4677C" w:rsidRPr="00C841E8">
        <w:rPr>
          <w:sz w:val="24"/>
          <w:lang w:val="lt-LT"/>
        </w:rPr>
        <w:tab/>
      </w:r>
      <w:r w:rsidRPr="00C841E8">
        <w:rPr>
          <w:sz w:val="24"/>
          <w:lang w:val="lt-LT"/>
        </w:rPr>
        <w:t>EFSA „</w:t>
      </w:r>
      <w:proofErr w:type="spellStart"/>
      <w:r w:rsidRPr="00C841E8">
        <w:rPr>
          <w:sz w:val="24"/>
          <w:lang w:val="lt-LT"/>
        </w:rPr>
        <w:t>Reasoned</w:t>
      </w:r>
      <w:proofErr w:type="spellEnd"/>
      <w:r w:rsidRPr="00C841E8">
        <w:rPr>
          <w:sz w:val="24"/>
          <w:lang w:val="lt-LT"/>
        </w:rPr>
        <w:t xml:space="preserve"> </w:t>
      </w:r>
      <w:proofErr w:type="spellStart"/>
      <w:r w:rsidRPr="00C841E8">
        <w:rPr>
          <w:sz w:val="24"/>
          <w:lang w:val="lt-LT"/>
        </w:rPr>
        <w:t>opinion</w:t>
      </w:r>
      <w:proofErr w:type="spellEnd"/>
      <w:r w:rsidRPr="00C841E8">
        <w:rPr>
          <w:sz w:val="24"/>
          <w:lang w:val="lt-LT"/>
        </w:rPr>
        <w:t xml:space="preserve"> </w:t>
      </w:r>
      <w:proofErr w:type="spellStart"/>
      <w:r w:rsidRPr="00C841E8">
        <w:rPr>
          <w:sz w:val="24"/>
          <w:lang w:val="lt-LT"/>
        </w:rPr>
        <w:t>on</w:t>
      </w:r>
      <w:proofErr w:type="spellEnd"/>
      <w:r w:rsidRPr="00C841E8">
        <w:rPr>
          <w:sz w:val="24"/>
          <w:lang w:val="lt-LT"/>
        </w:rPr>
        <w:t xml:space="preserve"> </w:t>
      </w:r>
      <w:proofErr w:type="spellStart"/>
      <w:r w:rsidRPr="00C841E8">
        <w:rPr>
          <w:sz w:val="24"/>
          <w:lang w:val="lt-LT"/>
        </w:rPr>
        <w:t>the</w:t>
      </w:r>
      <w:proofErr w:type="spellEnd"/>
      <w:r w:rsidRPr="00C841E8">
        <w:rPr>
          <w:sz w:val="24"/>
          <w:lang w:val="lt-LT"/>
        </w:rPr>
        <w:t xml:space="preserve"> </w:t>
      </w:r>
      <w:proofErr w:type="spellStart"/>
      <w:r w:rsidRPr="00C841E8">
        <w:rPr>
          <w:sz w:val="24"/>
          <w:lang w:val="lt-LT"/>
        </w:rPr>
        <w:t>review</w:t>
      </w:r>
      <w:proofErr w:type="spellEnd"/>
      <w:r w:rsidRPr="00C841E8">
        <w:rPr>
          <w:sz w:val="24"/>
          <w:lang w:val="lt-LT"/>
        </w:rPr>
        <w:t xml:space="preserve"> </w:t>
      </w:r>
      <w:proofErr w:type="spellStart"/>
      <w:r w:rsidRPr="00C841E8">
        <w:rPr>
          <w:sz w:val="24"/>
          <w:lang w:val="lt-LT"/>
        </w:rPr>
        <w:t>of</w:t>
      </w:r>
      <w:proofErr w:type="spellEnd"/>
      <w:r w:rsidRPr="00C841E8">
        <w:rPr>
          <w:sz w:val="24"/>
          <w:lang w:val="lt-LT"/>
        </w:rPr>
        <w:t xml:space="preserve"> </w:t>
      </w:r>
      <w:proofErr w:type="spellStart"/>
      <w:r w:rsidRPr="00C841E8">
        <w:rPr>
          <w:sz w:val="24"/>
          <w:lang w:val="lt-LT"/>
        </w:rPr>
        <w:t>the</w:t>
      </w:r>
      <w:proofErr w:type="spellEnd"/>
      <w:r w:rsidRPr="00C841E8">
        <w:rPr>
          <w:sz w:val="24"/>
          <w:lang w:val="lt-LT"/>
        </w:rPr>
        <w:t xml:space="preserve"> </w:t>
      </w:r>
      <w:proofErr w:type="spellStart"/>
      <w:r w:rsidRPr="00C841E8">
        <w:rPr>
          <w:sz w:val="24"/>
          <w:lang w:val="lt-LT"/>
        </w:rPr>
        <w:t>existing</w:t>
      </w:r>
      <w:proofErr w:type="spellEnd"/>
      <w:r w:rsidRPr="00C841E8">
        <w:rPr>
          <w:sz w:val="24"/>
          <w:lang w:val="lt-LT"/>
        </w:rPr>
        <w:t xml:space="preserve"> </w:t>
      </w:r>
      <w:proofErr w:type="spellStart"/>
      <w:r w:rsidRPr="00C841E8">
        <w:rPr>
          <w:sz w:val="24"/>
          <w:lang w:val="lt-LT"/>
        </w:rPr>
        <w:t>maximum</w:t>
      </w:r>
      <w:proofErr w:type="spellEnd"/>
      <w:r w:rsidRPr="00C841E8">
        <w:rPr>
          <w:sz w:val="24"/>
          <w:lang w:val="lt-LT"/>
        </w:rPr>
        <w:t xml:space="preserve"> </w:t>
      </w:r>
      <w:proofErr w:type="spellStart"/>
      <w:r w:rsidRPr="00C841E8">
        <w:rPr>
          <w:sz w:val="24"/>
          <w:lang w:val="lt-LT"/>
        </w:rPr>
        <w:t>residue</w:t>
      </w:r>
      <w:proofErr w:type="spellEnd"/>
      <w:r w:rsidRPr="00C841E8">
        <w:rPr>
          <w:sz w:val="24"/>
          <w:lang w:val="lt-LT"/>
        </w:rPr>
        <w:t xml:space="preserve"> </w:t>
      </w:r>
      <w:proofErr w:type="spellStart"/>
      <w:r w:rsidRPr="00C841E8">
        <w:rPr>
          <w:sz w:val="24"/>
          <w:lang w:val="lt-LT"/>
        </w:rPr>
        <w:t>levels</w:t>
      </w:r>
      <w:proofErr w:type="spellEnd"/>
      <w:r w:rsidRPr="00C841E8">
        <w:rPr>
          <w:sz w:val="24"/>
          <w:lang w:val="lt-LT"/>
        </w:rPr>
        <w:t xml:space="preserve"> </w:t>
      </w:r>
      <w:proofErr w:type="spellStart"/>
      <w:r w:rsidRPr="00C841E8">
        <w:rPr>
          <w:sz w:val="24"/>
          <w:lang w:val="lt-LT"/>
        </w:rPr>
        <w:t>for</w:t>
      </w:r>
      <w:proofErr w:type="spellEnd"/>
      <w:r w:rsidRPr="00C841E8">
        <w:rPr>
          <w:sz w:val="24"/>
          <w:lang w:val="lt-LT"/>
        </w:rPr>
        <w:t xml:space="preserve"> </w:t>
      </w:r>
      <w:proofErr w:type="spellStart"/>
      <w:r w:rsidRPr="00C841E8">
        <w:rPr>
          <w:sz w:val="24"/>
          <w:lang w:val="lt-LT"/>
        </w:rPr>
        <w:t>cyproconazole</w:t>
      </w:r>
      <w:proofErr w:type="spellEnd"/>
      <w:r w:rsidRPr="00C841E8">
        <w:rPr>
          <w:sz w:val="24"/>
          <w:lang w:val="lt-LT"/>
        </w:rPr>
        <w:t xml:space="preserve"> </w:t>
      </w:r>
      <w:proofErr w:type="spellStart"/>
      <w:r w:rsidRPr="00C841E8">
        <w:rPr>
          <w:sz w:val="24"/>
          <w:lang w:val="lt-LT"/>
        </w:rPr>
        <w:t>according</w:t>
      </w:r>
      <w:proofErr w:type="spellEnd"/>
      <w:r w:rsidRPr="00C841E8">
        <w:rPr>
          <w:sz w:val="24"/>
          <w:lang w:val="lt-LT"/>
        </w:rPr>
        <w:t xml:space="preserve"> to </w:t>
      </w:r>
      <w:proofErr w:type="spellStart"/>
      <w:r w:rsidRPr="00C841E8">
        <w:rPr>
          <w:sz w:val="24"/>
          <w:lang w:val="lt-LT"/>
        </w:rPr>
        <w:t>Article</w:t>
      </w:r>
      <w:proofErr w:type="spellEnd"/>
      <w:r w:rsidRPr="00C841E8">
        <w:rPr>
          <w:sz w:val="24"/>
          <w:lang w:val="lt-LT"/>
        </w:rPr>
        <w:t xml:space="preserve"> 12 </w:t>
      </w:r>
      <w:proofErr w:type="spellStart"/>
      <w:r w:rsidRPr="00C841E8">
        <w:rPr>
          <w:sz w:val="24"/>
          <w:lang w:val="lt-LT"/>
        </w:rPr>
        <w:t>of</w:t>
      </w:r>
      <w:proofErr w:type="spellEnd"/>
      <w:r w:rsidRPr="00C841E8">
        <w:rPr>
          <w:sz w:val="24"/>
          <w:lang w:val="lt-LT"/>
        </w:rPr>
        <w:t xml:space="preserve"> </w:t>
      </w:r>
      <w:proofErr w:type="spellStart"/>
      <w:r w:rsidRPr="00C841E8">
        <w:rPr>
          <w:sz w:val="24"/>
          <w:lang w:val="lt-LT"/>
        </w:rPr>
        <w:t>Regulation</w:t>
      </w:r>
      <w:proofErr w:type="spellEnd"/>
      <w:r w:rsidRPr="00C841E8">
        <w:rPr>
          <w:sz w:val="24"/>
          <w:lang w:val="lt-LT"/>
        </w:rPr>
        <w:t xml:space="preserve"> (EC) </w:t>
      </w:r>
      <w:proofErr w:type="spellStart"/>
      <w:r w:rsidRPr="00C841E8">
        <w:rPr>
          <w:sz w:val="24"/>
          <w:lang w:val="lt-LT"/>
        </w:rPr>
        <w:t>No</w:t>
      </w:r>
      <w:proofErr w:type="spellEnd"/>
      <w:r w:rsidRPr="00C841E8">
        <w:rPr>
          <w:sz w:val="24"/>
          <w:lang w:val="lt-LT"/>
        </w:rPr>
        <w:t xml:space="preserve"> 396/2005“, </w:t>
      </w:r>
      <w:r w:rsidRPr="00C841E8">
        <w:rPr>
          <w:i/>
          <w:iCs/>
          <w:sz w:val="24"/>
          <w:lang w:val="lt-LT"/>
        </w:rPr>
        <w:t xml:space="preserve">EFSA </w:t>
      </w:r>
      <w:proofErr w:type="spellStart"/>
      <w:r w:rsidRPr="00C841E8">
        <w:rPr>
          <w:i/>
          <w:iCs/>
          <w:sz w:val="24"/>
          <w:lang w:val="lt-LT"/>
        </w:rPr>
        <w:t>Journal</w:t>
      </w:r>
      <w:proofErr w:type="spellEnd"/>
      <w:r w:rsidRPr="00C841E8">
        <w:rPr>
          <w:sz w:val="24"/>
          <w:lang w:val="lt-LT"/>
        </w:rPr>
        <w:t xml:space="preserve"> 2021;19(3):e06483, </w:t>
      </w:r>
      <w:hyperlink r:id="rId1" w:history="1">
        <w:r w:rsidRPr="00C841E8">
          <w:rPr>
            <w:rStyle w:val="Hyperlink"/>
            <w:sz w:val="24"/>
            <w:lang w:val="lt-LT"/>
          </w:rPr>
          <w:t>https://doi.org/10.2903/j.efsa.2021.6483</w:t>
        </w:r>
      </w:hyperlink>
      <w:r w:rsidRPr="00C841E8">
        <w:rPr>
          <w:sz w:val="24"/>
          <w:lang w:val="lt-LT"/>
        </w:rPr>
        <w:t>.</w:t>
      </w:r>
    </w:p>
  </w:footnote>
  <w:footnote w:id="5">
    <w:p w:rsidR="00F64B90" w:rsidRPr="00C841E8" w:rsidRDefault="00F64B90" w:rsidP="00F4677C">
      <w:pPr>
        <w:pStyle w:val="FootnoteText"/>
        <w:ind w:left="567" w:hanging="567"/>
        <w:rPr>
          <w:sz w:val="24"/>
          <w:lang w:val="lt-LT"/>
        </w:rPr>
      </w:pPr>
      <w:r w:rsidRPr="00C841E8">
        <w:rPr>
          <w:rStyle w:val="FootnoteReference"/>
          <w:sz w:val="24"/>
          <w:lang w:val="lt-LT"/>
        </w:rPr>
        <w:footnoteRef/>
      </w:r>
      <w:r w:rsidR="00F4677C" w:rsidRPr="00C841E8">
        <w:rPr>
          <w:sz w:val="24"/>
          <w:lang w:val="lt-LT"/>
        </w:rPr>
        <w:t xml:space="preserve"> </w:t>
      </w:r>
      <w:r w:rsidR="00F4677C" w:rsidRPr="00C841E8">
        <w:rPr>
          <w:sz w:val="24"/>
          <w:lang w:val="lt-LT"/>
        </w:rPr>
        <w:tab/>
      </w:r>
      <w:r w:rsidRPr="00C841E8">
        <w:rPr>
          <w:sz w:val="24"/>
          <w:lang w:val="lt-LT"/>
        </w:rPr>
        <w:t>EFSA, „</w:t>
      </w:r>
      <w:proofErr w:type="spellStart"/>
      <w:r w:rsidRPr="00C841E8">
        <w:rPr>
          <w:sz w:val="24"/>
          <w:lang w:val="lt-LT"/>
        </w:rPr>
        <w:t>Conclusion</w:t>
      </w:r>
      <w:proofErr w:type="spellEnd"/>
      <w:r w:rsidRPr="00C841E8">
        <w:rPr>
          <w:sz w:val="24"/>
          <w:lang w:val="lt-LT"/>
        </w:rPr>
        <w:t xml:space="preserve"> </w:t>
      </w:r>
      <w:proofErr w:type="spellStart"/>
      <w:r w:rsidRPr="00C841E8">
        <w:rPr>
          <w:sz w:val="24"/>
          <w:lang w:val="lt-LT"/>
        </w:rPr>
        <w:t>on</w:t>
      </w:r>
      <w:proofErr w:type="spellEnd"/>
      <w:r w:rsidRPr="00C841E8">
        <w:rPr>
          <w:sz w:val="24"/>
          <w:lang w:val="lt-LT"/>
        </w:rPr>
        <w:t xml:space="preserve"> </w:t>
      </w:r>
      <w:proofErr w:type="spellStart"/>
      <w:r w:rsidRPr="00C841E8">
        <w:rPr>
          <w:sz w:val="24"/>
          <w:lang w:val="lt-LT"/>
        </w:rPr>
        <w:t>the</w:t>
      </w:r>
      <w:proofErr w:type="spellEnd"/>
      <w:r w:rsidRPr="00C841E8">
        <w:rPr>
          <w:sz w:val="24"/>
          <w:lang w:val="lt-LT"/>
        </w:rPr>
        <w:t xml:space="preserve"> </w:t>
      </w:r>
      <w:proofErr w:type="spellStart"/>
      <w:r w:rsidRPr="00C841E8">
        <w:rPr>
          <w:sz w:val="24"/>
          <w:lang w:val="lt-LT"/>
        </w:rPr>
        <w:t>peer</w:t>
      </w:r>
      <w:proofErr w:type="spellEnd"/>
      <w:r w:rsidRPr="00C841E8">
        <w:rPr>
          <w:sz w:val="24"/>
          <w:lang w:val="lt-LT"/>
        </w:rPr>
        <w:t xml:space="preserve"> </w:t>
      </w:r>
      <w:proofErr w:type="spellStart"/>
      <w:r w:rsidRPr="00C841E8">
        <w:rPr>
          <w:sz w:val="24"/>
          <w:lang w:val="lt-LT"/>
        </w:rPr>
        <w:t>review</w:t>
      </w:r>
      <w:proofErr w:type="spellEnd"/>
      <w:r w:rsidRPr="00C841E8">
        <w:rPr>
          <w:sz w:val="24"/>
          <w:lang w:val="lt-LT"/>
        </w:rPr>
        <w:t xml:space="preserve"> </w:t>
      </w:r>
      <w:proofErr w:type="spellStart"/>
      <w:r w:rsidRPr="00C841E8">
        <w:rPr>
          <w:sz w:val="24"/>
          <w:lang w:val="lt-LT"/>
        </w:rPr>
        <w:t>of</w:t>
      </w:r>
      <w:proofErr w:type="spellEnd"/>
      <w:r w:rsidRPr="00C841E8">
        <w:rPr>
          <w:sz w:val="24"/>
          <w:lang w:val="lt-LT"/>
        </w:rPr>
        <w:t xml:space="preserve"> </w:t>
      </w:r>
      <w:proofErr w:type="spellStart"/>
      <w:r w:rsidRPr="00C841E8">
        <w:rPr>
          <w:sz w:val="24"/>
          <w:lang w:val="lt-LT"/>
        </w:rPr>
        <w:t>the</w:t>
      </w:r>
      <w:proofErr w:type="spellEnd"/>
      <w:r w:rsidRPr="00C841E8">
        <w:rPr>
          <w:sz w:val="24"/>
          <w:lang w:val="lt-LT"/>
        </w:rPr>
        <w:t xml:space="preserve"> pesticide risk </w:t>
      </w:r>
      <w:proofErr w:type="spellStart"/>
      <w:r w:rsidRPr="00C841E8">
        <w:rPr>
          <w:sz w:val="24"/>
          <w:lang w:val="lt-LT"/>
        </w:rPr>
        <w:t>assessment</w:t>
      </w:r>
      <w:proofErr w:type="spellEnd"/>
      <w:r w:rsidRPr="00C841E8">
        <w:rPr>
          <w:sz w:val="24"/>
          <w:lang w:val="lt-LT"/>
        </w:rPr>
        <w:t xml:space="preserve"> </w:t>
      </w:r>
      <w:proofErr w:type="spellStart"/>
      <w:r w:rsidRPr="00C841E8">
        <w:rPr>
          <w:sz w:val="24"/>
          <w:lang w:val="lt-LT"/>
        </w:rPr>
        <w:t>of</w:t>
      </w:r>
      <w:proofErr w:type="spellEnd"/>
      <w:r w:rsidRPr="00C841E8">
        <w:rPr>
          <w:sz w:val="24"/>
          <w:lang w:val="lt-LT"/>
        </w:rPr>
        <w:t xml:space="preserve"> </w:t>
      </w:r>
      <w:proofErr w:type="spellStart"/>
      <w:r w:rsidRPr="00C841E8">
        <w:rPr>
          <w:sz w:val="24"/>
          <w:lang w:val="lt-LT"/>
        </w:rPr>
        <w:t>the</w:t>
      </w:r>
      <w:proofErr w:type="spellEnd"/>
      <w:r w:rsidRPr="00C841E8">
        <w:rPr>
          <w:sz w:val="24"/>
          <w:lang w:val="lt-LT"/>
        </w:rPr>
        <w:t xml:space="preserve"> </w:t>
      </w:r>
      <w:proofErr w:type="spellStart"/>
      <w:r w:rsidRPr="00C841E8">
        <w:rPr>
          <w:sz w:val="24"/>
          <w:lang w:val="lt-LT"/>
        </w:rPr>
        <w:t>active</w:t>
      </w:r>
      <w:proofErr w:type="spellEnd"/>
      <w:r w:rsidRPr="00C841E8">
        <w:rPr>
          <w:sz w:val="24"/>
          <w:lang w:val="lt-LT"/>
        </w:rPr>
        <w:t xml:space="preserve"> </w:t>
      </w:r>
      <w:proofErr w:type="spellStart"/>
      <w:r w:rsidRPr="00C841E8">
        <w:rPr>
          <w:sz w:val="24"/>
          <w:lang w:val="lt-LT"/>
        </w:rPr>
        <w:t>substance</w:t>
      </w:r>
      <w:proofErr w:type="spellEnd"/>
      <w:r w:rsidRPr="00C841E8">
        <w:rPr>
          <w:sz w:val="24"/>
          <w:lang w:val="lt-LT"/>
        </w:rPr>
        <w:t xml:space="preserve"> </w:t>
      </w:r>
      <w:proofErr w:type="spellStart"/>
      <w:r w:rsidRPr="00C841E8">
        <w:rPr>
          <w:sz w:val="24"/>
          <w:lang w:val="lt-LT"/>
        </w:rPr>
        <w:t>cyproconazole</w:t>
      </w:r>
      <w:proofErr w:type="spellEnd"/>
      <w:r w:rsidRPr="00C841E8">
        <w:rPr>
          <w:sz w:val="24"/>
          <w:lang w:val="lt-LT"/>
        </w:rPr>
        <w:t xml:space="preserve">“, </w:t>
      </w:r>
      <w:r w:rsidRPr="00C841E8">
        <w:rPr>
          <w:i/>
          <w:iCs/>
          <w:sz w:val="24"/>
          <w:lang w:val="lt-LT"/>
        </w:rPr>
        <w:t xml:space="preserve">EFSA </w:t>
      </w:r>
      <w:proofErr w:type="spellStart"/>
      <w:r w:rsidRPr="00C841E8">
        <w:rPr>
          <w:i/>
          <w:iCs/>
          <w:sz w:val="24"/>
          <w:lang w:val="lt-LT"/>
        </w:rPr>
        <w:t>Journal</w:t>
      </w:r>
      <w:proofErr w:type="spellEnd"/>
      <w:r w:rsidRPr="00C841E8">
        <w:rPr>
          <w:sz w:val="24"/>
          <w:lang w:val="lt-LT"/>
        </w:rPr>
        <w:t xml:space="preserve">, 2010; 8(11):1897, </w:t>
      </w:r>
      <w:hyperlink r:id="rId2" w:history="1">
        <w:r w:rsidRPr="00C841E8">
          <w:rPr>
            <w:rStyle w:val="Hyperlink"/>
            <w:sz w:val="24"/>
            <w:lang w:val="lt-LT"/>
          </w:rPr>
          <w:t>https://doi.org/10.2903/j.efsa.2010.1897</w:t>
        </w:r>
      </w:hyperlink>
      <w:r w:rsidRPr="00C841E8">
        <w:rPr>
          <w:sz w:val="24"/>
          <w:lang w:val="lt-LT"/>
        </w:rPr>
        <w:t>.</w:t>
      </w:r>
    </w:p>
  </w:footnote>
  <w:footnote w:id="6">
    <w:p w:rsidR="00F64B90" w:rsidRPr="00C841E8" w:rsidRDefault="00F64B90" w:rsidP="00F4677C">
      <w:pPr>
        <w:pStyle w:val="FootnoteText"/>
        <w:ind w:left="567" w:hanging="567"/>
        <w:rPr>
          <w:sz w:val="24"/>
          <w:lang w:val="lt-LT"/>
        </w:rPr>
      </w:pPr>
      <w:r w:rsidRPr="00C841E8">
        <w:rPr>
          <w:rStyle w:val="FootnoteReference"/>
          <w:sz w:val="24"/>
          <w:lang w:val="lt-LT"/>
        </w:rPr>
        <w:footnoteRef/>
      </w:r>
      <w:r w:rsidR="00F4677C" w:rsidRPr="00C841E8">
        <w:rPr>
          <w:sz w:val="24"/>
          <w:lang w:val="lt-LT"/>
        </w:rPr>
        <w:t xml:space="preserve"> </w:t>
      </w:r>
      <w:r w:rsidR="00F4677C" w:rsidRPr="00C841E8">
        <w:rPr>
          <w:sz w:val="24"/>
          <w:lang w:val="lt-LT"/>
        </w:rPr>
        <w:tab/>
      </w:r>
      <w:r w:rsidRPr="00C841E8">
        <w:rPr>
          <w:sz w:val="24"/>
          <w:lang w:val="lt-LT"/>
        </w:rPr>
        <w:t>RAC „</w:t>
      </w:r>
      <w:proofErr w:type="spellStart"/>
      <w:r w:rsidRPr="00C841E8">
        <w:rPr>
          <w:sz w:val="24"/>
          <w:lang w:val="lt-LT"/>
        </w:rPr>
        <w:t>Opinion</w:t>
      </w:r>
      <w:proofErr w:type="spellEnd"/>
      <w:r w:rsidRPr="00C841E8">
        <w:rPr>
          <w:sz w:val="24"/>
          <w:lang w:val="lt-LT"/>
        </w:rPr>
        <w:t xml:space="preserve"> </w:t>
      </w:r>
      <w:proofErr w:type="spellStart"/>
      <w:r w:rsidRPr="00C841E8">
        <w:rPr>
          <w:sz w:val="24"/>
          <w:lang w:val="lt-LT"/>
        </w:rPr>
        <w:t>proposing</w:t>
      </w:r>
      <w:proofErr w:type="spellEnd"/>
      <w:r w:rsidRPr="00C841E8">
        <w:rPr>
          <w:sz w:val="24"/>
          <w:lang w:val="lt-LT"/>
        </w:rPr>
        <w:t xml:space="preserve"> </w:t>
      </w:r>
      <w:proofErr w:type="spellStart"/>
      <w:r w:rsidRPr="00C841E8">
        <w:rPr>
          <w:sz w:val="24"/>
          <w:lang w:val="lt-LT"/>
        </w:rPr>
        <w:t>harmonised</w:t>
      </w:r>
      <w:proofErr w:type="spellEnd"/>
      <w:r w:rsidRPr="00C841E8">
        <w:rPr>
          <w:sz w:val="24"/>
          <w:lang w:val="lt-LT"/>
        </w:rPr>
        <w:t xml:space="preserve"> </w:t>
      </w:r>
      <w:proofErr w:type="spellStart"/>
      <w:r w:rsidRPr="00C841E8">
        <w:rPr>
          <w:sz w:val="24"/>
          <w:lang w:val="lt-LT"/>
        </w:rPr>
        <w:t>classification</w:t>
      </w:r>
      <w:proofErr w:type="spellEnd"/>
      <w:r w:rsidRPr="00C841E8">
        <w:rPr>
          <w:sz w:val="24"/>
          <w:lang w:val="lt-LT"/>
        </w:rPr>
        <w:t xml:space="preserve"> </w:t>
      </w:r>
      <w:proofErr w:type="spellStart"/>
      <w:r w:rsidRPr="00C841E8">
        <w:rPr>
          <w:sz w:val="24"/>
          <w:lang w:val="lt-LT"/>
        </w:rPr>
        <w:t>and</w:t>
      </w:r>
      <w:proofErr w:type="spellEnd"/>
      <w:r w:rsidRPr="00C841E8">
        <w:rPr>
          <w:sz w:val="24"/>
          <w:lang w:val="lt-LT"/>
        </w:rPr>
        <w:t xml:space="preserve"> </w:t>
      </w:r>
      <w:proofErr w:type="spellStart"/>
      <w:r w:rsidRPr="00C841E8">
        <w:rPr>
          <w:sz w:val="24"/>
          <w:lang w:val="lt-LT"/>
        </w:rPr>
        <w:t>labelling</w:t>
      </w:r>
      <w:proofErr w:type="spellEnd"/>
      <w:r w:rsidRPr="00C841E8">
        <w:rPr>
          <w:sz w:val="24"/>
          <w:lang w:val="lt-LT"/>
        </w:rPr>
        <w:t xml:space="preserve"> at EU </w:t>
      </w:r>
      <w:proofErr w:type="spellStart"/>
      <w:r w:rsidRPr="00C841E8">
        <w:rPr>
          <w:sz w:val="24"/>
          <w:lang w:val="lt-LT"/>
        </w:rPr>
        <w:t>level</w:t>
      </w:r>
      <w:proofErr w:type="spellEnd"/>
      <w:r w:rsidRPr="00C841E8">
        <w:rPr>
          <w:sz w:val="24"/>
          <w:lang w:val="lt-LT"/>
        </w:rPr>
        <w:t xml:space="preserve"> </w:t>
      </w:r>
      <w:proofErr w:type="spellStart"/>
      <w:r w:rsidRPr="00C841E8">
        <w:rPr>
          <w:sz w:val="24"/>
          <w:lang w:val="lt-LT"/>
        </w:rPr>
        <w:t>of</w:t>
      </w:r>
      <w:proofErr w:type="spellEnd"/>
      <w:r w:rsidRPr="00C841E8">
        <w:rPr>
          <w:sz w:val="24"/>
          <w:lang w:val="lt-LT"/>
        </w:rPr>
        <w:t xml:space="preserve"> </w:t>
      </w:r>
      <w:proofErr w:type="spellStart"/>
      <w:r w:rsidRPr="00C841E8">
        <w:rPr>
          <w:sz w:val="24"/>
          <w:lang w:val="lt-LT"/>
        </w:rPr>
        <w:t>Cyproconazole</w:t>
      </w:r>
      <w:proofErr w:type="spellEnd"/>
      <w:r w:rsidRPr="00C841E8">
        <w:rPr>
          <w:sz w:val="24"/>
          <w:lang w:val="lt-LT"/>
        </w:rPr>
        <w:t xml:space="preserve"> (ISO); (2RS,3RS;2RS,3SR)-2-(4-chlorophenyl)-3-cyclopr opyl-1-(1H-1,2,4-triazol-1-yl)butan-2-ol“, </w:t>
      </w:r>
      <w:hyperlink r:id="rId3" w:history="1">
        <w:r w:rsidRPr="00C841E8">
          <w:rPr>
            <w:rStyle w:val="Hyperlink"/>
            <w:sz w:val="24"/>
            <w:lang w:val="lt-LT"/>
          </w:rPr>
          <w:t>https://echa.europa.eu/documents/10162/6d98baeb-24aa-a683-28ec-d8adabee5461</w:t>
        </w:r>
      </w:hyperlink>
      <w:r w:rsidRPr="00C841E8">
        <w:rPr>
          <w:sz w:val="24"/>
          <w:lang w:val="lt-LT"/>
        </w:rPr>
        <w:t>.</w:t>
      </w:r>
    </w:p>
  </w:footnote>
  <w:footnote w:id="7">
    <w:p w:rsidR="00F64B90" w:rsidRPr="00C841E8" w:rsidRDefault="00F64B90" w:rsidP="00F4677C">
      <w:pPr>
        <w:pStyle w:val="FootnoteText"/>
        <w:ind w:left="567" w:hanging="567"/>
        <w:rPr>
          <w:sz w:val="24"/>
          <w:lang w:val="lt-LT"/>
        </w:rPr>
      </w:pPr>
      <w:r w:rsidRPr="00C841E8">
        <w:rPr>
          <w:rStyle w:val="FootnoteReference"/>
          <w:sz w:val="24"/>
          <w:lang w:val="lt-LT"/>
        </w:rPr>
        <w:footnoteRef/>
      </w:r>
      <w:r w:rsidR="00F4677C" w:rsidRPr="00C841E8">
        <w:rPr>
          <w:sz w:val="24"/>
          <w:lang w:val="lt-LT"/>
        </w:rPr>
        <w:t xml:space="preserve"> </w:t>
      </w:r>
      <w:r w:rsidR="00F4677C" w:rsidRPr="00C841E8">
        <w:rPr>
          <w:sz w:val="24"/>
          <w:lang w:val="lt-LT"/>
        </w:rPr>
        <w:tab/>
      </w:r>
      <w:r w:rsidRPr="00C841E8">
        <w:rPr>
          <w:sz w:val="24"/>
          <w:lang w:val="lt-LT"/>
        </w:rPr>
        <w:t>OL L 184, 1999 7 17, p. 23.</w:t>
      </w:r>
    </w:p>
  </w:footnote>
  <w:footnote w:id="8">
    <w:p w:rsidR="00F64B90" w:rsidRPr="00C841E8" w:rsidRDefault="00F64B90" w:rsidP="00F4677C">
      <w:pPr>
        <w:pStyle w:val="FootnoteText"/>
        <w:ind w:left="567" w:hanging="567"/>
        <w:rPr>
          <w:sz w:val="24"/>
          <w:lang w:val="lt-LT"/>
        </w:rPr>
      </w:pPr>
      <w:r w:rsidRPr="00C841E8">
        <w:rPr>
          <w:rStyle w:val="FootnoteReference"/>
          <w:sz w:val="24"/>
          <w:lang w:val="lt-LT"/>
        </w:rPr>
        <w:footnoteRef/>
      </w:r>
      <w:r w:rsidR="00F4677C" w:rsidRPr="00C841E8">
        <w:rPr>
          <w:sz w:val="24"/>
          <w:lang w:val="lt-LT"/>
        </w:rPr>
        <w:t xml:space="preserve"> </w:t>
      </w:r>
      <w:r w:rsidR="00F4677C" w:rsidRPr="00C841E8">
        <w:rPr>
          <w:sz w:val="24"/>
          <w:lang w:val="lt-LT"/>
        </w:rPr>
        <w:tab/>
      </w:r>
      <w:r w:rsidRPr="00C841E8">
        <w:rPr>
          <w:sz w:val="24"/>
          <w:lang w:val="lt-LT"/>
        </w:rPr>
        <w:t>2008 m. gruodžio 16 d. Europos Parlamento ir Tarybos reglamentas (EB) Nr. 1272/2008 dėl cheminių medžiagų ir mišinių klasifikavimo, ženklinimo ir pakavimo, iš dalies keičiantis ir panaikinantis direktyvas 67/548/EEB bei 1999/45/EB ir iš dalies keičiantis Reglamentą (EB) Nr. 1907/2006 (OL L 353, 2008 12 31, p. 1).</w:t>
      </w:r>
    </w:p>
  </w:footnote>
  <w:footnote w:id="9">
    <w:p w:rsidR="00F64B90" w:rsidRPr="00C841E8" w:rsidRDefault="00F64B90" w:rsidP="00F4677C">
      <w:pPr>
        <w:pStyle w:val="FootnoteText"/>
        <w:ind w:left="567" w:hanging="567"/>
        <w:rPr>
          <w:sz w:val="24"/>
          <w:lang w:val="lt-LT"/>
        </w:rPr>
      </w:pPr>
      <w:r w:rsidRPr="00C841E8">
        <w:rPr>
          <w:rStyle w:val="FootnoteReference"/>
          <w:sz w:val="24"/>
          <w:lang w:val="lt-LT"/>
        </w:rPr>
        <w:footnoteRef/>
      </w:r>
      <w:r w:rsidR="00F4677C" w:rsidRPr="00C841E8">
        <w:rPr>
          <w:sz w:val="24"/>
          <w:lang w:val="lt-LT"/>
        </w:rPr>
        <w:t xml:space="preserve"> </w:t>
      </w:r>
      <w:r w:rsidR="00F4677C" w:rsidRPr="00C841E8">
        <w:rPr>
          <w:sz w:val="24"/>
          <w:lang w:val="lt-LT"/>
        </w:rPr>
        <w:tab/>
      </w:r>
      <w:hyperlink r:id="rId4" w:history="1">
        <w:r w:rsidRPr="00C841E8">
          <w:rPr>
            <w:rStyle w:val="Hyperlink"/>
            <w:sz w:val="24"/>
            <w:lang w:val="lt-LT"/>
          </w:rPr>
          <w:t>https://www.echa.europa.eu/substance-information/-/substanceinfo/100.130.443</w:t>
        </w:r>
      </w:hyperlink>
      <w:r w:rsidRPr="00C841E8">
        <w:rPr>
          <w:sz w:val="24"/>
          <w:lang w:val="lt-LT"/>
        </w:rPr>
        <w:t>.</w:t>
      </w:r>
    </w:p>
  </w:footnote>
  <w:footnote w:id="10">
    <w:p w:rsidR="00F64B90" w:rsidRPr="00C841E8" w:rsidRDefault="00F64B90" w:rsidP="00F4677C">
      <w:pPr>
        <w:pStyle w:val="FootnoteText"/>
        <w:ind w:left="567" w:hanging="567"/>
        <w:rPr>
          <w:sz w:val="24"/>
          <w:lang w:val="lt-LT"/>
        </w:rPr>
      </w:pPr>
      <w:r w:rsidRPr="00C841E8">
        <w:rPr>
          <w:rStyle w:val="FootnoteReference"/>
          <w:sz w:val="24"/>
          <w:lang w:val="lt-LT"/>
        </w:rPr>
        <w:footnoteRef/>
      </w:r>
      <w:r w:rsidR="00F4677C" w:rsidRPr="00C841E8">
        <w:rPr>
          <w:sz w:val="24"/>
          <w:lang w:val="lt-LT"/>
        </w:rPr>
        <w:t xml:space="preserve"> </w:t>
      </w:r>
      <w:r w:rsidR="00F4677C" w:rsidRPr="00C841E8">
        <w:rPr>
          <w:sz w:val="24"/>
          <w:lang w:val="lt-LT"/>
        </w:rPr>
        <w:tab/>
      </w:r>
      <w:r w:rsidRPr="00C841E8">
        <w:rPr>
          <w:sz w:val="24"/>
          <w:lang w:val="lt-LT"/>
        </w:rPr>
        <w:t>EFSA „</w:t>
      </w:r>
      <w:proofErr w:type="spellStart"/>
      <w:r w:rsidRPr="00C841E8">
        <w:rPr>
          <w:sz w:val="24"/>
          <w:lang w:val="lt-LT"/>
        </w:rPr>
        <w:t>Conclusion</w:t>
      </w:r>
      <w:proofErr w:type="spellEnd"/>
      <w:r w:rsidRPr="00C841E8">
        <w:rPr>
          <w:sz w:val="24"/>
          <w:lang w:val="lt-LT"/>
        </w:rPr>
        <w:t xml:space="preserve"> </w:t>
      </w:r>
      <w:proofErr w:type="spellStart"/>
      <w:r w:rsidRPr="00C841E8">
        <w:rPr>
          <w:sz w:val="24"/>
          <w:lang w:val="lt-LT"/>
        </w:rPr>
        <w:t>on</w:t>
      </w:r>
      <w:proofErr w:type="spellEnd"/>
      <w:r w:rsidRPr="00C841E8">
        <w:rPr>
          <w:sz w:val="24"/>
          <w:lang w:val="lt-LT"/>
        </w:rPr>
        <w:t xml:space="preserve"> pesticide </w:t>
      </w:r>
      <w:proofErr w:type="spellStart"/>
      <w:r w:rsidRPr="00C841E8">
        <w:rPr>
          <w:sz w:val="24"/>
          <w:lang w:val="lt-LT"/>
        </w:rPr>
        <w:t>peer</w:t>
      </w:r>
      <w:proofErr w:type="spellEnd"/>
      <w:r w:rsidRPr="00C841E8">
        <w:rPr>
          <w:sz w:val="24"/>
          <w:lang w:val="lt-LT"/>
        </w:rPr>
        <w:t xml:space="preserve"> </w:t>
      </w:r>
      <w:proofErr w:type="spellStart"/>
      <w:r w:rsidRPr="00C841E8">
        <w:rPr>
          <w:sz w:val="24"/>
          <w:lang w:val="lt-LT"/>
        </w:rPr>
        <w:t>review</w:t>
      </w:r>
      <w:proofErr w:type="spellEnd"/>
      <w:r w:rsidRPr="00C841E8">
        <w:rPr>
          <w:sz w:val="24"/>
          <w:lang w:val="lt-LT"/>
        </w:rPr>
        <w:t xml:space="preserve"> </w:t>
      </w:r>
      <w:proofErr w:type="spellStart"/>
      <w:r w:rsidRPr="00C841E8">
        <w:rPr>
          <w:sz w:val="24"/>
          <w:lang w:val="lt-LT"/>
        </w:rPr>
        <w:t>of</w:t>
      </w:r>
      <w:proofErr w:type="spellEnd"/>
      <w:r w:rsidRPr="00C841E8">
        <w:rPr>
          <w:sz w:val="24"/>
          <w:lang w:val="lt-LT"/>
        </w:rPr>
        <w:t xml:space="preserve"> 8 </w:t>
      </w:r>
      <w:proofErr w:type="spellStart"/>
      <w:r w:rsidRPr="00C841E8">
        <w:rPr>
          <w:sz w:val="24"/>
          <w:lang w:val="lt-LT"/>
        </w:rPr>
        <w:t>November</w:t>
      </w:r>
      <w:proofErr w:type="spellEnd"/>
      <w:r w:rsidRPr="00C841E8">
        <w:rPr>
          <w:sz w:val="24"/>
          <w:lang w:val="lt-LT"/>
        </w:rPr>
        <w:t> 2010“</w:t>
      </w:r>
      <w:r w:rsidR="00202183">
        <w:rPr>
          <w:sz w:val="24"/>
          <w:lang w:val="lt-LT"/>
        </w:rPr>
        <w:t xml:space="preserve"> (</w:t>
      </w:r>
      <w:r w:rsidR="00202183">
        <w:rPr>
          <w:sz w:val="24"/>
          <w:lang w:val="lt-LT"/>
        </w:rPr>
        <w:t xml:space="preserve">2010 m. lapkričio 8 d. </w:t>
      </w:r>
      <w:r w:rsidR="00202183" w:rsidRPr="00202183">
        <w:rPr>
          <w:sz w:val="24"/>
          <w:lang w:val="lt-LT"/>
        </w:rPr>
        <w:t>pesticido peržiūros išvada</w:t>
      </w:r>
      <w:bookmarkStart w:id="7" w:name="_GoBack"/>
      <w:r w:rsidR="00202183">
        <w:rPr>
          <w:sz w:val="24"/>
          <w:lang w:val="lt-LT"/>
        </w:rPr>
        <w:t>)</w:t>
      </w:r>
      <w:r w:rsidRPr="0053478F">
        <w:t>;</w:t>
      </w:r>
      <w:r w:rsidRPr="0053478F">
        <w:rPr>
          <w:sz w:val="24"/>
          <w:lang w:val="lt-LT"/>
        </w:rPr>
        <w:t xml:space="preserve"> </w:t>
      </w:r>
      <w:bookmarkEnd w:id="7"/>
      <w:r w:rsidRPr="00C841E8">
        <w:rPr>
          <w:sz w:val="24"/>
          <w:lang w:val="lt-LT"/>
        </w:rPr>
        <w:t xml:space="preserve">Draskau, M.K., ir </w:t>
      </w:r>
      <w:proofErr w:type="spellStart"/>
      <w:r w:rsidRPr="00C841E8">
        <w:rPr>
          <w:sz w:val="24"/>
          <w:lang w:val="lt-LT"/>
        </w:rPr>
        <w:t>Svingen</w:t>
      </w:r>
      <w:proofErr w:type="spellEnd"/>
      <w:r w:rsidRPr="00C841E8">
        <w:rPr>
          <w:sz w:val="24"/>
          <w:lang w:val="lt-LT"/>
        </w:rPr>
        <w:t>, T., „</w:t>
      </w:r>
      <w:proofErr w:type="spellStart"/>
      <w:r w:rsidRPr="00C841E8">
        <w:rPr>
          <w:sz w:val="24"/>
          <w:lang w:val="lt-LT"/>
        </w:rPr>
        <w:t>Azole</w:t>
      </w:r>
      <w:proofErr w:type="spellEnd"/>
      <w:r w:rsidRPr="00C841E8">
        <w:rPr>
          <w:sz w:val="24"/>
          <w:lang w:val="lt-LT"/>
        </w:rPr>
        <w:t xml:space="preserve"> </w:t>
      </w:r>
      <w:proofErr w:type="spellStart"/>
      <w:r w:rsidRPr="00C841E8">
        <w:rPr>
          <w:sz w:val="24"/>
          <w:lang w:val="lt-LT"/>
        </w:rPr>
        <w:t>Fungicides</w:t>
      </w:r>
      <w:proofErr w:type="spellEnd"/>
      <w:r w:rsidRPr="00C841E8">
        <w:rPr>
          <w:sz w:val="24"/>
          <w:lang w:val="lt-LT"/>
        </w:rPr>
        <w:t xml:space="preserve"> </w:t>
      </w:r>
      <w:proofErr w:type="spellStart"/>
      <w:r w:rsidRPr="00C841E8">
        <w:rPr>
          <w:sz w:val="24"/>
          <w:lang w:val="lt-LT"/>
        </w:rPr>
        <w:t>and</w:t>
      </w:r>
      <w:proofErr w:type="spellEnd"/>
      <w:r w:rsidRPr="00C841E8">
        <w:rPr>
          <w:sz w:val="24"/>
          <w:lang w:val="lt-LT"/>
        </w:rPr>
        <w:t xml:space="preserve"> </w:t>
      </w:r>
      <w:proofErr w:type="spellStart"/>
      <w:r w:rsidRPr="00C841E8">
        <w:rPr>
          <w:sz w:val="24"/>
          <w:lang w:val="lt-LT"/>
        </w:rPr>
        <w:t>Their</w:t>
      </w:r>
      <w:proofErr w:type="spellEnd"/>
      <w:r w:rsidRPr="00C841E8">
        <w:rPr>
          <w:sz w:val="24"/>
          <w:lang w:val="lt-LT"/>
        </w:rPr>
        <w:t xml:space="preserve"> </w:t>
      </w:r>
      <w:proofErr w:type="spellStart"/>
      <w:r w:rsidRPr="00C841E8">
        <w:rPr>
          <w:sz w:val="24"/>
          <w:lang w:val="lt-LT"/>
        </w:rPr>
        <w:t>Endocrine</w:t>
      </w:r>
      <w:proofErr w:type="spellEnd"/>
      <w:r w:rsidRPr="00C841E8">
        <w:rPr>
          <w:sz w:val="24"/>
          <w:lang w:val="lt-LT"/>
        </w:rPr>
        <w:t xml:space="preserve"> </w:t>
      </w:r>
      <w:proofErr w:type="spellStart"/>
      <w:r w:rsidRPr="00C841E8">
        <w:rPr>
          <w:sz w:val="24"/>
          <w:lang w:val="lt-LT"/>
        </w:rPr>
        <w:t>Disrupting</w:t>
      </w:r>
      <w:proofErr w:type="spellEnd"/>
      <w:r w:rsidRPr="00C841E8">
        <w:rPr>
          <w:sz w:val="24"/>
          <w:lang w:val="lt-LT"/>
        </w:rPr>
        <w:t xml:space="preserve"> </w:t>
      </w:r>
      <w:proofErr w:type="spellStart"/>
      <w:r w:rsidRPr="00C841E8">
        <w:rPr>
          <w:sz w:val="24"/>
          <w:lang w:val="lt-LT"/>
        </w:rPr>
        <w:t>Properties</w:t>
      </w:r>
      <w:proofErr w:type="spellEnd"/>
      <w:r w:rsidRPr="00C841E8">
        <w:rPr>
          <w:sz w:val="24"/>
          <w:lang w:val="lt-LT"/>
        </w:rPr>
        <w:t xml:space="preserve">: </w:t>
      </w:r>
      <w:proofErr w:type="spellStart"/>
      <w:r w:rsidRPr="00C841E8">
        <w:rPr>
          <w:sz w:val="24"/>
          <w:lang w:val="lt-LT"/>
        </w:rPr>
        <w:t>Perspectives</w:t>
      </w:r>
      <w:proofErr w:type="spellEnd"/>
      <w:r w:rsidRPr="00C841E8">
        <w:rPr>
          <w:sz w:val="24"/>
          <w:lang w:val="lt-LT"/>
        </w:rPr>
        <w:t xml:space="preserve"> </w:t>
      </w:r>
      <w:proofErr w:type="spellStart"/>
      <w:r w:rsidRPr="00C841E8">
        <w:rPr>
          <w:sz w:val="24"/>
          <w:lang w:val="lt-LT"/>
        </w:rPr>
        <w:t>on</w:t>
      </w:r>
      <w:proofErr w:type="spellEnd"/>
      <w:r w:rsidRPr="00C841E8">
        <w:rPr>
          <w:sz w:val="24"/>
          <w:lang w:val="lt-LT"/>
        </w:rPr>
        <w:t xml:space="preserve"> </w:t>
      </w:r>
      <w:proofErr w:type="spellStart"/>
      <w:r w:rsidRPr="00C841E8">
        <w:rPr>
          <w:sz w:val="24"/>
          <w:lang w:val="lt-LT"/>
        </w:rPr>
        <w:t>Sex</w:t>
      </w:r>
      <w:proofErr w:type="spellEnd"/>
      <w:r w:rsidRPr="00C841E8">
        <w:rPr>
          <w:sz w:val="24"/>
          <w:lang w:val="lt-LT"/>
        </w:rPr>
        <w:t xml:space="preserve"> Hormone-</w:t>
      </w:r>
      <w:proofErr w:type="spellStart"/>
      <w:r w:rsidRPr="00C841E8">
        <w:rPr>
          <w:sz w:val="24"/>
          <w:lang w:val="lt-LT"/>
        </w:rPr>
        <w:t>Dependent</w:t>
      </w:r>
      <w:proofErr w:type="spellEnd"/>
      <w:r w:rsidRPr="00C841E8">
        <w:rPr>
          <w:sz w:val="24"/>
          <w:lang w:val="lt-LT"/>
        </w:rPr>
        <w:t xml:space="preserve"> </w:t>
      </w:r>
      <w:proofErr w:type="spellStart"/>
      <w:r w:rsidRPr="00C841E8">
        <w:rPr>
          <w:sz w:val="24"/>
          <w:lang w:val="lt-LT"/>
        </w:rPr>
        <w:t>Reproductive</w:t>
      </w:r>
      <w:proofErr w:type="spellEnd"/>
      <w:r w:rsidRPr="00C841E8">
        <w:rPr>
          <w:sz w:val="24"/>
          <w:lang w:val="lt-LT"/>
        </w:rPr>
        <w:t xml:space="preserve"> </w:t>
      </w:r>
      <w:proofErr w:type="spellStart"/>
      <w:r w:rsidRPr="00C841E8">
        <w:rPr>
          <w:sz w:val="24"/>
          <w:lang w:val="lt-LT"/>
        </w:rPr>
        <w:t>Development</w:t>
      </w:r>
      <w:proofErr w:type="spellEnd"/>
      <w:r w:rsidRPr="00C841E8">
        <w:rPr>
          <w:sz w:val="24"/>
          <w:lang w:val="lt-LT"/>
        </w:rPr>
        <w:t>“, </w:t>
      </w:r>
      <w:proofErr w:type="spellStart"/>
      <w:r w:rsidRPr="00C841E8">
        <w:rPr>
          <w:i/>
          <w:iCs/>
          <w:sz w:val="24"/>
          <w:lang w:val="lt-LT"/>
        </w:rPr>
        <w:t>Frontiers</w:t>
      </w:r>
      <w:proofErr w:type="spellEnd"/>
      <w:r w:rsidRPr="00C841E8">
        <w:rPr>
          <w:i/>
          <w:iCs/>
          <w:sz w:val="24"/>
          <w:lang w:val="lt-LT"/>
        </w:rPr>
        <w:t xml:space="preserve"> </w:t>
      </w:r>
      <w:proofErr w:type="spellStart"/>
      <w:r w:rsidRPr="00C841E8">
        <w:rPr>
          <w:i/>
          <w:iCs/>
          <w:sz w:val="24"/>
          <w:lang w:val="lt-LT"/>
        </w:rPr>
        <w:t>in</w:t>
      </w:r>
      <w:proofErr w:type="spellEnd"/>
      <w:r w:rsidRPr="00C841E8">
        <w:rPr>
          <w:i/>
          <w:iCs/>
          <w:sz w:val="24"/>
          <w:lang w:val="lt-LT"/>
        </w:rPr>
        <w:t xml:space="preserve"> </w:t>
      </w:r>
      <w:proofErr w:type="spellStart"/>
      <w:r w:rsidRPr="00C841E8">
        <w:rPr>
          <w:i/>
          <w:iCs/>
          <w:sz w:val="24"/>
          <w:lang w:val="lt-LT"/>
        </w:rPr>
        <w:t>Toxicology</w:t>
      </w:r>
      <w:proofErr w:type="spellEnd"/>
      <w:r w:rsidRPr="00C841E8">
        <w:rPr>
          <w:sz w:val="24"/>
          <w:lang w:val="lt-LT"/>
        </w:rPr>
        <w:t xml:space="preserve"> 2022, 4:883254, </w:t>
      </w:r>
      <w:hyperlink r:id="rId5" w:history="1">
        <w:r w:rsidRPr="00C841E8">
          <w:rPr>
            <w:rStyle w:val="Hyperlink"/>
            <w:color w:val="0000FF"/>
            <w:sz w:val="24"/>
            <w:shd w:val="clear" w:color="auto" w:fill="F7F7F7"/>
            <w:lang w:val="lt-LT"/>
          </w:rPr>
          <w:t>https://doi.org/10.3389/ftox.2022.883254</w:t>
        </w:r>
      </w:hyperlink>
      <w:r w:rsidRPr="00C841E8">
        <w:rPr>
          <w:sz w:val="24"/>
          <w:lang w:val="lt-LT"/>
        </w:rPr>
        <w:t>.</w:t>
      </w:r>
    </w:p>
  </w:footnote>
  <w:footnote w:id="11">
    <w:p w:rsidR="00F64B90" w:rsidRPr="00C841E8" w:rsidRDefault="00F64B90" w:rsidP="00F4677C">
      <w:pPr>
        <w:pStyle w:val="FootnoteText"/>
        <w:ind w:left="567" w:hanging="567"/>
        <w:rPr>
          <w:sz w:val="24"/>
          <w:lang w:val="lt-LT"/>
        </w:rPr>
      </w:pPr>
      <w:r w:rsidRPr="00C841E8">
        <w:rPr>
          <w:rStyle w:val="FootnoteReference"/>
          <w:sz w:val="24"/>
          <w:lang w:val="lt-LT"/>
        </w:rPr>
        <w:footnoteRef/>
      </w:r>
      <w:r w:rsidR="00F4677C" w:rsidRPr="00C841E8">
        <w:rPr>
          <w:sz w:val="24"/>
          <w:lang w:val="lt-LT"/>
        </w:rPr>
        <w:t xml:space="preserve"> </w:t>
      </w:r>
      <w:r w:rsidR="00F4677C" w:rsidRPr="00C841E8">
        <w:rPr>
          <w:sz w:val="24"/>
          <w:lang w:val="lt-LT"/>
        </w:rPr>
        <w:tab/>
      </w:r>
      <w:r w:rsidRPr="00C841E8">
        <w:rPr>
          <w:sz w:val="24"/>
          <w:lang w:val="lt-LT"/>
        </w:rPr>
        <w:t>2018 m. balandžio 19 d. Komisijos reglamentas (ES) 2018/605, kuriuo nustatomi moksliniai endokrininės sistemos ardomųjų savybių nustatymo kriterijai ir iš dalies keičiamas Reglamento (EB) Nr. 1107/2009 II priedas (OL L 101, 2018 4 20, p. 33).</w:t>
      </w:r>
    </w:p>
  </w:footnote>
  <w:footnote w:id="12">
    <w:p w:rsidR="00F64B90" w:rsidRPr="00C841E8" w:rsidRDefault="00F64B90" w:rsidP="00F4677C">
      <w:pPr>
        <w:pStyle w:val="FootnoteText"/>
        <w:ind w:left="567" w:hanging="567"/>
        <w:rPr>
          <w:sz w:val="24"/>
          <w:lang w:val="lt-LT"/>
        </w:rPr>
      </w:pPr>
      <w:r w:rsidRPr="00C841E8">
        <w:rPr>
          <w:rStyle w:val="FootnoteReference"/>
          <w:sz w:val="24"/>
          <w:lang w:val="lt-LT"/>
        </w:rPr>
        <w:footnoteRef/>
      </w:r>
      <w:r w:rsidR="00F4677C" w:rsidRPr="00C841E8">
        <w:rPr>
          <w:sz w:val="24"/>
          <w:lang w:val="lt-LT"/>
        </w:rPr>
        <w:t xml:space="preserve"> </w:t>
      </w:r>
      <w:r w:rsidR="00F4677C" w:rsidRPr="00C841E8">
        <w:rPr>
          <w:sz w:val="24"/>
          <w:lang w:val="lt-LT"/>
        </w:rPr>
        <w:tab/>
      </w:r>
      <w:r w:rsidRPr="00C841E8">
        <w:rPr>
          <w:sz w:val="24"/>
          <w:lang w:val="lt-LT"/>
        </w:rPr>
        <w:t>EFSA „</w:t>
      </w:r>
      <w:proofErr w:type="spellStart"/>
      <w:r w:rsidRPr="00C841E8">
        <w:rPr>
          <w:sz w:val="24"/>
          <w:lang w:val="lt-LT"/>
        </w:rPr>
        <w:t>Scientific</w:t>
      </w:r>
      <w:proofErr w:type="spellEnd"/>
      <w:r w:rsidRPr="00C841E8">
        <w:rPr>
          <w:sz w:val="24"/>
          <w:lang w:val="lt-LT"/>
        </w:rPr>
        <w:t xml:space="preserve"> </w:t>
      </w:r>
      <w:proofErr w:type="spellStart"/>
      <w:r w:rsidRPr="00C841E8">
        <w:rPr>
          <w:sz w:val="24"/>
          <w:lang w:val="lt-LT"/>
        </w:rPr>
        <w:t>report</w:t>
      </w:r>
      <w:proofErr w:type="spellEnd"/>
      <w:r w:rsidRPr="00C841E8">
        <w:rPr>
          <w:sz w:val="24"/>
          <w:lang w:val="lt-LT"/>
        </w:rPr>
        <w:t xml:space="preserve"> </w:t>
      </w:r>
      <w:proofErr w:type="spellStart"/>
      <w:r w:rsidRPr="00C841E8">
        <w:rPr>
          <w:sz w:val="24"/>
          <w:lang w:val="lt-LT"/>
        </w:rPr>
        <w:t>of</w:t>
      </w:r>
      <w:proofErr w:type="spellEnd"/>
      <w:r w:rsidRPr="00C841E8">
        <w:rPr>
          <w:sz w:val="24"/>
          <w:lang w:val="lt-LT"/>
        </w:rPr>
        <w:t xml:space="preserve"> </w:t>
      </w:r>
      <w:proofErr w:type="spellStart"/>
      <w:r w:rsidRPr="00C841E8">
        <w:rPr>
          <w:sz w:val="24"/>
          <w:lang w:val="lt-LT"/>
        </w:rPr>
        <w:t>the</w:t>
      </w:r>
      <w:proofErr w:type="spellEnd"/>
      <w:r w:rsidRPr="00C841E8">
        <w:rPr>
          <w:sz w:val="24"/>
          <w:lang w:val="lt-LT"/>
        </w:rPr>
        <w:t xml:space="preserve"> </w:t>
      </w:r>
      <w:proofErr w:type="spellStart"/>
      <w:r w:rsidRPr="00C841E8">
        <w:rPr>
          <w:sz w:val="24"/>
          <w:lang w:val="lt-LT"/>
        </w:rPr>
        <w:t>Endocrine</w:t>
      </w:r>
      <w:proofErr w:type="spellEnd"/>
      <w:r w:rsidRPr="00C841E8">
        <w:rPr>
          <w:sz w:val="24"/>
          <w:lang w:val="lt-LT"/>
        </w:rPr>
        <w:t xml:space="preserve"> </w:t>
      </w:r>
      <w:proofErr w:type="spellStart"/>
      <w:r w:rsidRPr="00C841E8">
        <w:rPr>
          <w:sz w:val="24"/>
          <w:lang w:val="lt-LT"/>
        </w:rPr>
        <w:t>Active</w:t>
      </w:r>
      <w:proofErr w:type="spellEnd"/>
      <w:r w:rsidRPr="00C841E8">
        <w:rPr>
          <w:sz w:val="24"/>
          <w:lang w:val="lt-LT"/>
        </w:rPr>
        <w:t xml:space="preserve"> </w:t>
      </w:r>
      <w:proofErr w:type="spellStart"/>
      <w:r w:rsidRPr="00C841E8">
        <w:rPr>
          <w:sz w:val="24"/>
          <w:lang w:val="lt-LT"/>
        </w:rPr>
        <w:t>Substances</w:t>
      </w:r>
      <w:proofErr w:type="spellEnd"/>
      <w:r w:rsidRPr="00C841E8">
        <w:rPr>
          <w:sz w:val="24"/>
          <w:lang w:val="lt-LT"/>
        </w:rPr>
        <w:t xml:space="preserve"> </w:t>
      </w:r>
      <w:proofErr w:type="spellStart"/>
      <w:r w:rsidRPr="00C841E8">
        <w:rPr>
          <w:sz w:val="24"/>
          <w:lang w:val="lt-LT"/>
        </w:rPr>
        <w:t>Task</w:t>
      </w:r>
      <w:proofErr w:type="spellEnd"/>
      <w:r w:rsidRPr="00C841E8">
        <w:rPr>
          <w:sz w:val="24"/>
          <w:lang w:val="lt-LT"/>
        </w:rPr>
        <w:t xml:space="preserve"> Force“, </w:t>
      </w:r>
      <w:r w:rsidRPr="00C841E8">
        <w:rPr>
          <w:i/>
          <w:iCs/>
          <w:sz w:val="24"/>
          <w:lang w:val="lt-LT"/>
        </w:rPr>
        <w:t xml:space="preserve">EFSA </w:t>
      </w:r>
      <w:proofErr w:type="spellStart"/>
      <w:r w:rsidRPr="00C841E8">
        <w:rPr>
          <w:i/>
          <w:iCs/>
          <w:sz w:val="24"/>
          <w:lang w:val="lt-LT"/>
        </w:rPr>
        <w:t>Journal</w:t>
      </w:r>
      <w:proofErr w:type="spellEnd"/>
      <w:r w:rsidRPr="00C841E8">
        <w:rPr>
          <w:sz w:val="24"/>
          <w:lang w:val="lt-LT"/>
        </w:rPr>
        <w:t xml:space="preserve"> 2010;8(11):1932, </w:t>
      </w:r>
      <w:hyperlink r:id="rId6" w:history="1">
        <w:r w:rsidRPr="00C841E8">
          <w:rPr>
            <w:rStyle w:val="Hyperlink"/>
            <w:sz w:val="24"/>
            <w:lang w:val="lt-LT"/>
          </w:rPr>
          <w:t>https://doi.org/10.2903/j.efsa.2010.1932</w:t>
        </w:r>
      </w:hyperlink>
      <w:r w:rsidRPr="00C841E8">
        <w:rPr>
          <w:sz w:val="24"/>
          <w:lang w:val="lt-LT"/>
        </w:rPr>
        <w:t xml:space="preserve">. </w:t>
      </w:r>
    </w:p>
  </w:footnote>
  <w:footnote w:id="13">
    <w:p w:rsidR="00F64B90" w:rsidRPr="00C841E8" w:rsidRDefault="00F64B90" w:rsidP="00F4677C">
      <w:pPr>
        <w:pStyle w:val="FootnoteText"/>
        <w:ind w:left="567" w:hanging="567"/>
        <w:rPr>
          <w:sz w:val="24"/>
          <w:lang w:val="lt-LT"/>
        </w:rPr>
      </w:pPr>
      <w:r w:rsidRPr="00C841E8">
        <w:rPr>
          <w:rStyle w:val="FootnoteReference"/>
          <w:sz w:val="24"/>
          <w:lang w:val="lt-LT"/>
        </w:rPr>
        <w:footnoteRef/>
      </w:r>
      <w:r w:rsidR="00F4677C" w:rsidRPr="00C841E8">
        <w:rPr>
          <w:sz w:val="24"/>
          <w:lang w:val="lt-LT"/>
        </w:rPr>
        <w:t xml:space="preserve"> </w:t>
      </w:r>
      <w:r w:rsidR="00F4677C" w:rsidRPr="00C841E8">
        <w:rPr>
          <w:sz w:val="24"/>
          <w:lang w:val="lt-LT"/>
        </w:rPr>
        <w:tab/>
      </w:r>
      <w:proofErr w:type="spellStart"/>
      <w:r w:rsidRPr="00C841E8">
        <w:rPr>
          <w:sz w:val="24"/>
          <w:lang w:val="lt-LT"/>
        </w:rPr>
        <w:t>Zhang</w:t>
      </w:r>
      <w:proofErr w:type="spellEnd"/>
      <w:r w:rsidRPr="00C841E8">
        <w:rPr>
          <w:sz w:val="24"/>
          <w:lang w:val="lt-LT"/>
        </w:rPr>
        <w:t xml:space="preserve">, J., </w:t>
      </w:r>
      <w:proofErr w:type="spellStart"/>
      <w:r w:rsidRPr="00C841E8">
        <w:rPr>
          <w:sz w:val="24"/>
          <w:lang w:val="lt-LT"/>
        </w:rPr>
        <w:t>Jimenez</w:t>
      </w:r>
      <w:proofErr w:type="spellEnd"/>
      <w:r w:rsidRPr="00C841E8">
        <w:rPr>
          <w:sz w:val="24"/>
          <w:lang w:val="lt-LT"/>
        </w:rPr>
        <w:t xml:space="preserve">, L.L., </w:t>
      </w:r>
      <w:proofErr w:type="spellStart"/>
      <w:r w:rsidRPr="00C841E8">
        <w:rPr>
          <w:sz w:val="24"/>
          <w:lang w:val="lt-LT"/>
        </w:rPr>
        <w:t>Snelders</w:t>
      </w:r>
      <w:proofErr w:type="spellEnd"/>
      <w:r w:rsidRPr="00C841E8">
        <w:rPr>
          <w:sz w:val="24"/>
          <w:lang w:val="lt-LT"/>
        </w:rPr>
        <w:t xml:space="preserve">, E., </w:t>
      </w:r>
      <w:proofErr w:type="spellStart"/>
      <w:r w:rsidRPr="00C841E8">
        <w:rPr>
          <w:sz w:val="24"/>
          <w:lang w:val="lt-LT"/>
        </w:rPr>
        <w:t>Debets</w:t>
      </w:r>
      <w:proofErr w:type="spellEnd"/>
      <w:r w:rsidRPr="00C841E8">
        <w:rPr>
          <w:sz w:val="24"/>
          <w:lang w:val="lt-LT"/>
        </w:rPr>
        <w:t xml:space="preserve">, A.J.M., </w:t>
      </w:r>
      <w:proofErr w:type="spellStart"/>
      <w:r w:rsidRPr="00C841E8">
        <w:rPr>
          <w:sz w:val="24"/>
          <w:lang w:val="lt-LT"/>
        </w:rPr>
        <w:t>Rietveld</w:t>
      </w:r>
      <w:proofErr w:type="spellEnd"/>
      <w:r w:rsidRPr="00C841E8">
        <w:rPr>
          <w:sz w:val="24"/>
          <w:lang w:val="lt-LT"/>
        </w:rPr>
        <w:t xml:space="preserve">, A.G., </w:t>
      </w:r>
      <w:proofErr w:type="spellStart"/>
      <w:r w:rsidRPr="00C841E8">
        <w:rPr>
          <w:sz w:val="24"/>
          <w:lang w:val="lt-LT"/>
        </w:rPr>
        <w:t>Zwaan</w:t>
      </w:r>
      <w:proofErr w:type="spellEnd"/>
      <w:r w:rsidRPr="00C841E8">
        <w:rPr>
          <w:sz w:val="24"/>
          <w:lang w:val="lt-LT"/>
        </w:rPr>
        <w:t xml:space="preserve">, B.J., </w:t>
      </w:r>
      <w:proofErr w:type="spellStart"/>
      <w:r w:rsidRPr="00C841E8">
        <w:rPr>
          <w:sz w:val="24"/>
          <w:lang w:val="lt-LT"/>
        </w:rPr>
        <w:t>Verweij</w:t>
      </w:r>
      <w:proofErr w:type="spellEnd"/>
      <w:r w:rsidRPr="00C841E8">
        <w:rPr>
          <w:sz w:val="24"/>
          <w:lang w:val="lt-LT"/>
        </w:rPr>
        <w:t xml:space="preserve">, P.E., </w:t>
      </w:r>
      <w:proofErr w:type="spellStart"/>
      <w:r w:rsidRPr="00C841E8">
        <w:rPr>
          <w:sz w:val="24"/>
          <w:lang w:val="lt-LT"/>
        </w:rPr>
        <w:t>Schoustra</w:t>
      </w:r>
      <w:proofErr w:type="spellEnd"/>
      <w:r w:rsidRPr="00C841E8">
        <w:rPr>
          <w:sz w:val="24"/>
          <w:lang w:val="lt-LT"/>
        </w:rPr>
        <w:t xml:space="preserve">, S.E., „Dynamics </w:t>
      </w:r>
      <w:proofErr w:type="spellStart"/>
      <w:r w:rsidRPr="00C841E8">
        <w:rPr>
          <w:sz w:val="24"/>
          <w:lang w:val="lt-LT"/>
        </w:rPr>
        <w:t>of</w:t>
      </w:r>
      <w:proofErr w:type="spellEnd"/>
      <w:r w:rsidRPr="00C841E8">
        <w:rPr>
          <w:sz w:val="24"/>
          <w:lang w:val="lt-LT"/>
        </w:rPr>
        <w:t xml:space="preserve"> </w:t>
      </w:r>
      <w:proofErr w:type="spellStart"/>
      <w:r w:rsidRPr="00C841E8">
        <w:rPr>
          <w:i/>
          <w:sz w:val="24"/>
          <w:lang w:val="lt-LT"/>
        </w:rPr>
        <w:t>Aspergillus</w:t>
      </w:r>
      <w:proofErr w:type="spellEnd"/>
      <w:r w:rsidRPr="00C841E8">
        <w:rPr>
          <w:i/>
          <w:sz w:val="24"/>
          <w:lang w:val="lt-LT"/>
        </w:rPr>
        <w:t xml:space="preserve"> </w:t>
      </w:r>
      <w:proofErr w:type="spellStart"/>
      <w:r w:rsidRPr="00C841E8">
        <w:rPr>
          <w:i/>
          <w:sz w:val="24"/>
          <w:lang w:val="lt-LT"/>
        </w:rPr>
        <w:t>fumigatus</w:t>
      </w:r>
      <w:proofErr w:type="spellEnd"/>
      <w:r w:rsidRPr="00C841E8">
        <w:rPr>
          <w:sz w:val="24"/>
          <w:lang w:val="lt-LT"/>
        </w:rPr>
        <w:t xml:space="preserve"> </w:t>
      </w:r>
      <w:proofErr w:type="spellStart"/>
      <w:r w:rsidRPr="00C841E8">
        <w:rPr>
          <w:sz w:val="24"/>
          <w:lang w:val="lt-LT"/>
        </w:rPr>
        <w:t>in</w:t>
      </w:r>
      <w:proofErr w:type="spellEnd"/>
      <w:r w:rsidRPr="00C841E8">
        <w:rPr>
          <w:sz w:val="24"/>
          <w:lang w:val="lt-LT"/>
        </w:rPr>
        <w:t xml:space="preserve"> </w:t>
      </w:r>
      <w:proofErr w:type="spellStart"/>
      <w:r w:rsidRPr="00C841E8">
        <w:rPr>
          <w:sz w:val="24"/>
          <w:lang w:val="lt-LT"/>
        </w:rPr>
        <w:t>Azole</w:t>
      </w:r>
      <w:proofErr w:type="spellEnd"/>
      <w:r w:rsidRPr="00C841E8">
        <w:rPr>
          <w:sz w:val="24"/>
          <w:lang w:val="lt-LT"/>
        </w:rPr>
        <w:t xml:space="preserve"> Fungicide-</w:t>
      </w:r>
      <w:proofErr w:type="spellStart"/>
      <w:r w:rsidRPr="00C841E8">
        <w:rPr>
          <w:sz w:val="24"/>
          <w:lang w:val="lt-LT"/>
        </w:rPr>
        <w:t>Containing</w:t>
      </w:r>
      <w:proofErr w:type="spellEnd"/>
      <w:r w:rsidRPr="00C841E8">
        <w:rPr>
          <w:sz w:val="24"/>
          <w:lang w:val="lt-LT"/>
        </w:rPr>
        <w:t xml:space="preserve"> </w:t>
      </w:r>
      <w:proofErr w:type="spellStart"/>
      <w:r w:rsidRPr="00C841E8">
        <w:rPr>
          <w:sz w:val="24"/>
          <w:lang w:val="lt-LT"/>
        </w:rPr>
        <w:t>Plant</w:t>
      </w:r>
      <w:proofErr w:type="spellEnd"/>
      <w:r w:rsidRPr="00C841E8">
        <w:rPr>
          <w:sz w:val="24"/>
          <w:lang w:val="lt-LT"/>
        </w:rPr>
        <w:t xml:space="preserve"> </w:t>
      </w:r>
      <w:proofErr w:type="spellStart"/>
      <w:r w:rsidRPr="00C841E8">
        <w:rPr>
          <w:sz w:val="24"/>
          <w:lang w:val="lt-LT"/>
        </w:rPr>
        <w:t>Waste</w:t>
      </w:r>
      <w:proofErr w:type="spellEnd"/>
      <w:r w:rsidRPr="00C841E8">
        <w:rPr>
          <w:sz w:val="24"/>
          <w:lang w:val="lt-LT"/>
        </w:rPr>
        <w:t xml:space="preserve"> </w:t>
      </w:r>
      <w:proofErr w:type="spellStart"/>
      <w:r w:rsidRPr="00C841E8">
        <w:rPr>
          <w:sz w:val="24"/>
          <w:lang w:val="lt-LT"/>
        </w:rPr>
        <w:t>in</w:t>
      </w:r>
      <w:proofErr w:type="spellEnd"/>
      <w:r w:rsidRPr="00C841E8">
        <w:rPr>
          <w:sz w:val="24"/>
          <w:lang w:val="lt-LT"/>
        </w:rPr>
        <w:t xml:space="preserve"> </w:t>
      </w:r>
      <w:proofErr w:type="spellStart"/>
      <w:r w:rsidRPr="00C841E8">
        <w:rPr>
          <w:sz w:val="24"/>
          <w:lang w:val="lt-LT"/>
        </w:rPr>
        <w:t>the</w:t>
      </w:r>
      <w:proofErr w:type="spellEnd"/>
      <w:r w:rsidRPr="00C841E8">
        <w:rPr>
          <w:sz w:val="24"/>
          <w:lang w:val="lt-LT"/>
        </w:rPr>
        <w:t xml:space="preserve"> </w:t>
      </w:r>
      <w:proofErr w:type="spellStart"/>
      <w:r w:rsidRPr="00C841E8">
        <w:rPr>
          <w:sz w:val="24"/>
          <w:lang w:val="lt-LT"/>
        </w:rPr>
        <w:t>Netherlands</w:t>
      </w:r>
      <w:proofErr w:type="spellEnd"/>
      <w:r w:rsidRPr="00C841E8">
        <w:rPr>
          <w:sz w:val="24"/>
          <w:lang w:val="lt-LT"/>
        </w:rPr>
        <w:t xml:space="preserve"> (2016-2017)“, </w:t>
      </w:r>
      <w:proofErr w:type="spellStart"/>
      <w:r w:rsidRPr="00C841E8">
        <w:rPr>
          <w:i/>
          <w:iCs/>
          <w:sz w:val="24"/>
          <w:lang w:val="lt-LT"/>
        </w:rPr>
        <w:t>Applied</w:t>
      </w:r>
      <w:proofErr w:type="spellEnd"/>
      <w:r w:rsidRPr="00C841E8">
        <w:rPr>
          <w:i/>
          <w:iCs/>
          <w:sz w:val="24"/>
          <w:lang w:val="lt-LT"/>
        </w:rPr>
        <w:t xml:space="preserve"> </w:t>
      </w:r>
      <w:proofErr w:type="spellStart"/>
      <w:r w:rsidRPr="00C841E8">
        <w:rPr>
          <w:i/>
          <w:iCs/>
          <w:sz w:val="24"/>
          <w:lang w:val="lt-LT"/>
        </w:rPr>
        <w:t>and</w:t>
      </w:r>
      <w:proofErr w:type="spellEnd"/>
      <w:r w:rsidRPr="00C841E8">
        <w:rPr>
          <w:i/>
          <w:iCs/>
          <w:sz w:val="24"/>
          <w:lang w:val="lt-LT"/>
        </w:rPr>
        <w:t xml:space="preserve"> </w:t>
      </w:r>
      <w:proofErr w:type="spellStart"/>
      <w:r w:rsidRPr="00C841E8">
        <w:rPr>
          <w:i/>
          <w:iCs/>
          <w:sz w:val="24"/>
          <w:lang w:val="lt-LT"/>
        </w:rPr>
        <w:t>Environmental</w:t>
      </w:r>
      <w:proofErr w:type="spellEnd"/>
      <w:r w:rsidRPr="00C841E8">
        <w:rPr>
          <w:i/>
          <w:iCs/>
          <w:sz w:val="24"/>
          <w:lang w:val="lt-LT"/>
        </w:rPr>
        <w:t xml:space="preserve"> </w:t>
      </w:r>
      <w:proofErr w:type="spellStart"/>
      <w:r w:rsidRPr="00C841E8">
        <w:rPr>
          <w:i/>
          <w:iCs/>
          <w:sz w:val="24"/>
          <w:lang w:val="lt-LT"/>
        </w:rPr>
        <w:t>Microbiology</w:t>
      </w:r>
      <w:proofErr w:type="spellEnd"/>
      <w:r w:rsidRPr="00C841E8">
        <w:rPr>
          <w:sz w:val="24"/>
          <w:lang w:val="lt-LT"/>
        </w:rPr>
        <w:t xml:space="preserve"> 2021, 87:e02295-20, </w:t>
      </w:r>
      <w:hyperlink r:id="rId7" w:history="1">
        <w:r w:rsidRPr="00C841E8">
          <w:rPr>
            <w:rStyle w:val="Hyperlink"/>
            <w:sz w:val="24"/>
            <w:lang w:val="lt-LT"/>
          </w:rPr>
          <w:t>https://doi.org/10.1128/AEM.02295-20</w:t>
        </w:r>
      </w:hyperlink>
      <w:r w:rsidRPr="00C841E8">
        <w:rPr>
          <w:color w:val="000000"/>
          <w:sz w:val="24"/>
          <w:lang w:val="lt-LT"/>
        </w:rPr>
        <w:t xml:space="preserve">; Danijos aplinkos ir maisto komiteto pranešimas apie atsparumą </w:t>
      </w:r>
      <w:proofErr w:type="spellStart"/>
      <w:r w:rsidRPr="00C841E8">
        <w:rPr>
          <w:color w:val="000000"/>
          <w:sz w:val="24"/>
          <w:lang w:val="lt-LT"/>
        </w:rPr>
        <w:t>azolui</w:t>
      </w:r>
      <w:proofErr w:type="spellEnd"/>
      <w:r w:rsidRPr="00C841E8">
        <w:rPr>
          <w:color w:val="000000"/>
          <w:sz w:val="24"/>
          <w:lang w:val="lt-LT"/>
        </w:rPr>
        <w:t xml:space="preserve">, </w:t>
      </w:r>
      <w:hyperlink r:id="rId8" w:history="1">
        <w:r w:rsidRPr="00C841E8">
          <w:rPr>
            <w:rStyle w:val="Hyperlink"/>
            <w:sz w:val="24"/>
            <w:lang w:val="lt-LT"/>
          </w:rPr>
          <w:t>https://www.ft.dk/samling/20181/almdel/MOF/bilag/407/2016336.pdf</w:t>
        </w:r>
      </w:hyperlink>
      <w:r w:rsidRPr="00C841E8">
        <w:rPr>
          <w:color w:val="000000"/>
          <w:sz w:val="24"/>
          <w:lang w:val="lt-LT"/>
        </w:rPr>
        <w:t xml:space="preserve">; </w:t>
      </w:r>
      <w:proofErr w:type="spellStart"/>
      <w:r w:rsidRPr="00C841E8">
        <w:rPr>
          <w:color w:val="000000"/>
          <w:sz w:val="24"/>
          <w:lang w:val="lt-LT"/>
        </w:rPr>
        <w:t>Snelders</w:t>
      </w:r>
      <w:proofErr w:type="spellEnd"/>
      <w:r w:rsidRPr="00C841E8">
        <w:rPr>
          <w:color w:val="000000"/>
          <w:sz w:val="24"/>
          <w:lang w:val="lt-LT"/>
        </w:rPr>
        <w:t xml:space="preserve">, E., </w:t>
      </w:r>
      <w:proofErr w:type="spellStart"/>
      <w:r w:rsidRPr="00C841E8">
        <w:rPr>
          <w:color w:val="000000"/>
          <w:sz w:val="24"/>
          <w:lang w:val="lt-LT"/>
        </w:rPr>
        <w:t>Camps</w:t>
      </w:r>
      <w:proofErr w:type="spellEnd"/>
      <w:r w:rsidRPr="00C841E8">
        <w:rPr>
          <w:color w:val="000000"/>
          <w:sz w:val="24"/>
          <w:lang w:val="lt-LT"/>
        </w:rPr>
        <w:t xml:space="preserve">, S.M.T., </w:t>
      </w:r>
      <w:proofErr w:type="spellStart"/>
      <w:r w:rsidRPr="00C841E8">
        <w:rPr>
          <w:color w:val="000000"/>
          <w:sz w:val="24"/>
          <w:lang w:val="lt-LT"/>
        </w:rPr>
        <w:t>Karawajczyk</w:t>
      </w:r>
      <w:proofErr w:type="spellEnd"/>
      <w:r w:rsidRPr="00C841E8">
        <w:rPr>
          <w:color w:val="000000"/>
          <w:sz w:val="24"/>
          <w:lang w:val="lt-LT"/>
        </w:rPr>
        <w:t xml:space="preserve">, A., </w:t>
      </w:r>
      <w:proofErr w:type="spellStart"/>
      <w:r w:rsidRPr="00C841E8">
        <w:rPr>
          <w:color w:val="000000"/>
          <w:sz w:val="24"/>
          <w:lang w:val="lt-LT"/>
        </w:rPr>
        <w:t>Schaftenaar</w:t>
      </w:r>
      <w:proofErr w:type="spellEnd"/>
      <w:r w:rsidRPr="00C841E8">
        <w:rPr>
          <w:color w:val="000000"/>
          <w:sz w:val="24"/>
          <w:lang w:val="lt-LT"/>
        </w:rPr>
        <w:t xml:space="preserve">, G., </w:t>
      </w:r>
      <w:proofErr w:type="spellStart"/>
      <w:r w:rsidRPr="00C841E8">
        <w:rPr>
          <w:color w:val="000000"/>
          <w:sz w:val="24"/>
          <w:lang w:val="lt-LT"/>
        </w:rPr>
        <w:t>Kema</w:t>
      </w:r>
      <w:proofErr w:type="spellEnd"/>
      <w:r w:rsidRPr="00C841E8">
        <w:rPr>
          <w:color w:val="000000"/>
          <w:sz w:val="24"/>
          <w:lang w:val="lt-LT"/>
        </w:rPr>
        <w:t xml:space="preserve">, G.H.J., </w:t>
      </w:r>
      <w:proofErr w:type="spellStart"/>
      <w:r w:rsidRPr="00C841E8">
        <w:rPr>
          <w:color w:val="000000"/>
          <w:sz w:val="24"/>
          <w:lang w:val="lt-LT"/>
        </w:rPr>
        <w:t>van</w:t>
      </w:r>
      <w:proofErr w:type="spellEnd"/>
      <w:r w:rsidRPr="00C841E8">
        <w:rPr>
          <w:color w:val="000000"/>
          <w:sz w:val="24"/>
          <w:lang w:val="lt-LT"/>
        </w:rPr>
        <w:t xml:space="preserve"> </w:t>
      </w:r>
      <w:proofErr w:type="spellStart"/>
      <w:r w:rsidRPr="00C841E8">
        <w:rPr>
          <w:color w:val="000000"/>
          <w:sz w:val="24"/>
          <w:lang w:val="lt-LT"/>
        </w:rPr>
        <w:t>der</w:t>
      </w:r>
      <w:proofErr w:type="spellEnd"/>
      <w:r w:rsidRPr="00C841E8">
        <w:rPr>
          <w:color w:val="000000"/>
          <w:sz w:val="24"/>
          <w:lang w:val="lt-LT"/>
        </w:rPr>
        <w:t xml:space="preserve"> Lee, H.A., et al., „</w:t>
      </w:r>
      <w:proofErr w:type="spellStart"/>
      <w:r w:rsidRPr="00C841E8">
        <w:rPr>
          <w:color w:val="000000"/>
          <w:sz w:val="24"/>
          <w:lang w:val="lt-LT"/>
        </w:rPr>
        <w:t>Triazole</w:t>
      </w:r>
      <w:proofErr w:type="spellEnd"/>
      <w:r w:rsidRPr="00C841E8">
        <w:rPr>
          <w:color w:val="000000"/>
          <w:sz w:val="24"/>
          <w:lang w:val="lt-LT"/>
        </w:rPr>
        <w:t xml:space="preserve"> </w:t>
      </w:r>
      <w:proofErr w:type="spellStart"/>
      <w:r w:rsidRPr="00C841E8">
        <w:rPr>
          <w:color w:val="000000"/>
          <w:sz w:val="24"/>
          <w:lang w:val="lt-LT"/>
        </w:rPr>
        <w:t>Fungicides</w:t>
      </w:r>
      <w:proofErr w:type="spellEnd"/>
      <w:r w:rsidRPr="00C841E8">
        <w:rPr>
          <w:color w:val="000000"/>
          <w:sz w:val="24"/>
          <w:lang w:val="lt-LT"/>
        </w:rPr>
        <w:t xml:space="preserve"> </w:t>
      </w:r>
      <w:proofErr w:type="spellStart"/>
      <w:r w:rsidRPr="00C841E8">
        <w:rPr>
          <w:color w:val="000000"/>
          <w:sz w:val="24"/>
          <w:lang w:val="lt-LT"/>
        </w:rPr>
        <w:t>Can</w:t>
      </w:r>
      <w:proofErr w:type="spellEnd"/>
      <w:r w:rsidRPr="00C841E8">
        <w:rPr>
          <w:color w:val="000000"/>
          <w:sz w:val="24"/>
          <w:lang w:val="lt-LT"/>
        </w:rPr>
        <w:t xml:space="preserve"> </w:t>
      </w:r>
      <w:proofErr w:type="spellStart"/>
      <w:r w:rsidRPr="00C841E8">
        <w:rPr>
          <w:color w:val="000000"/>
          <w:sz w:val="24"/>
          <w:lang w:val="lt-LT"/>
        </w:rPr>
        <w:t>Induce</w:t>
      </w:r>
      <w:proofErr w:type="spellEnd"/>
      <w:r w:rsidRPr="00C841E8">
        <w:rPr>
          <w:color w:val="000000"/>
          <w:sz w:val="24"/>
          <w:lang w:val="lt-LT"/>
        </w:rPr>
        <w:t xml:space="preserve"> </w:t>
      </w:r>
      <w:proofErr w:type="spellStart"/>
      <w:r w:rsidRPr="00C841E8">
        <w:rPr>
          <w:color w:val="000000"/>
          <w:sz w:val="24"/>
          <w:lang w:val="lt-LT"/>
        </w:rPr>
        <w:t>Cross-Resistance</w:t>
      </w:r>
      <w:proofErr w:type="spellEnd"/>
      <w:r w:rsidRPr="00C841E8">
        <w:rPr>
          <w:color w:val="000000"/>
          <w:sz w:val="24"/>
          <w:lang w:val="lt-LT"/>
        </w:rPr>
        <w:t xml:space="preserve"> to Medical </w:t>
      </w:r>
      <w:proofErr w:type="spellStart"/>
      <w:r w:rsidRPr="00C841E8">
        <w:rPr>
          <w:color w:val="000000"/>
          <w:sz w:val="24"/>
          <w:lang w:val="lt-LT"/>
        </w:rPr>
        <w:t>Triazoles</w:t>
      </w:r>
      <w:proofErr w:type="spellEnd"/>
      <w:r w:rsidRPr="00C841E8">
        <w:rPr>
          <w:color w:val="000000"/>
          <w:sz w:val="24"/>
          <w:lang w:val="lt-LT"/>
        </w:rPr>
        <w:t xml:space="preserve"> </w:t>
      </w:r>
      <w:proofErr w:type="spellStart"/>
      <w:r w:rsidRPr="00C841E8">
        <w:rPr>
          <w:color w:val="000000"/>
          <w:sz w:val="24"/>
          <w:lang w:val="lt-LT"/>
        </w:rPr>
        <w:t>in</w:t>
      </w:r>
      <w:proofErr w:type="spellEnd"/>
      <w:r w:rsidRPr="00C841E8">
        <w:rPr>
          <w:color w:val="000000"/>
          <w:sz w:val="24"/>
          <w:lang w:val="lt-LT"/>
        </w:rPr>
        <w:t xml:space="preserve"> </w:t>
      </w:r>
      <w:proofErr w:type="spellStart"/>
      <w:r w:rsidRPr="00C841E8">
        <w:rPr>
          <w:i/>
          <w:color w:val="000000"/>
          <w:sz w:val="24"/>
          <w:lang w:val="lt-LT"/>
        </w:rPr>
        <w:t>Aspergillus</w:t>
      </w:r>
      <w:proofErr w:type="spellEnd"/>
      <w:r w:rsidRPr="00C841E8">
        <w:rPr>
          <w:i/>
          <w:color w:val="000000"/>
          <w:sz w:val="24"/>
          <w:lang w:val="lt-LT"/>
        </w:rPr>
        <w:t xml:space="preserve"> </w:t>
      </w:r>
      <w:proofErr w:type="spellStart"/>
      <w:r w:rsidRPr="00C841E8">
        <w:rPr>
          <w:i/>
          <w:color w:val="000000"/>
          <w:sz w:val="24"/>
          <w:lang w:val="lt-LT"/>
        </w:rPr>
        <w:t>fumigatus</w:t>
      </w:r>
      <w:proofErr w:type="spellEnd"/>
      <w:r w:rsidRPr="00C841E8">
        <w:rPr>
          <w:color w:val="000000"/>
          <w:sz w:val="24"/>
          <w:lang w:val="lt-LT"/>
        </w:rPr>
        <w:t xml:space="preserve">“. </w:t>
      </w:r>
      <w:proofErr w:type="spellStart"/>
      <w:r w:rsidRPr="00C841E8">
        <w:rPr>
          <w:color w:val="000000"/>
          <w:sz w:val="24"/>
          <w:lang w:val="lt-LT"/>
        </w:rPr>
        <w:t>PLoS</w:t>
      </w:r>
      <w:proofErr w:type="spellEnd"/>
      <w:r w:rsidRPr="00C841E8">
        <w:rPr>
          <w:color w:val="000000"/>
          <w:sz w:val="24"/>
          <w:lang w:val="lt-LT"/>
        </w:rPr>
        <w:t xml:space="preserve"> ONE 2012, 7(3): e31801. https://doi.org/10.1371/journal.pone.0031801.</w:t>
      </w:r>
    </w:p>
  </w:footnote>
  <w:footnote w:id="14">
    <w:p w:rsidR="00F64B90" w:rsidRPr="00C841E8" w:rsidRDefault="00F64B90" w:rsidP="00F4677C">
      <w:pPr>
        <w:pStyle w:val="FootnoteText"/>
        <w:ind w:left="567" w:hanging="567"/>
        <w:rPr>
          <w:sz w:val="24"/>
          <w:lang w:val="lt-LT"/>
        </w:rPr>
      </w:pPr>
      <w:r w:rsidRPr="00C841E8">
        <w:rPr>
          <w:rStyle w:val="FootnoteReference"/>
          <w:sz w:val="24"/>
          <w:lang w:val="lt-LT"/>
        </w:rPr>
        <w:footnoteRef/>
      </w:r>
      <w:r w:rsidR="00F4677C" w:rsidRPr="00C841E8">
        <w:rPr>
          <w:sz w:val="24"/>
          <w:lang w:val="lt-LT"/>
        </w:rPr>
        <w:t xml:space="preserve"> </w:t>
      </w:r>
      <w:r w:rsidR="00F4677C" w:rsidRPr="00C841E8">
        <w:rPr>
          <w:sz w:val="24"/>
          <w:lang w:val="lt-LT"/>
        </w:rPr>
        <w:tab/>
      </w:r>
      <w:hyperlink r:id="rId9" w:history="1">
        <w:r w:rsidRPr="00C841E8">
          <w:rPr>
            <w:rStyle w:val="Hyperlink"/>
            <w:sz w:val="24"/>
            <w:lang w:val="lt-LT"/>
          </w:rPr>
          <w:t>https://open.efsa.europa.eu/question/EFSA-Q-2022-00040</w:t>
        </w:r>
      </w:hyperlink>
      <w:r w:rsidRPr="00C841E8">
        <w:rPr>
          <w:sz w:val="24"/>
          <w:lang w:val="lt-LT"/>
        </w:rPr>
        <w:t>.</w:t>
      </w:r>
    </w:p>
  </w:footnote>
  <w:footnote w:id="15">
    <w:p w:rsidR="00F64B90" w:rsidRPr="00C841E8" w:rsidRDefault="00F64B90" w:rsidP="00F4677C">
      <w:pPr>
        <w:pStyle w:val="FootnoteText"/>
        <w:ind w:left="567" w:hanging="567"/>
        <w:rPr>
          <w:sz w:val="24"/>
          <w:lang w:val="lt-LT"/>
        </w:rPr>
      </w:pPr>
      <w:r w:rsidRPr="00C841E8">
        <w:rPr>
          <w:rStyle w:val="FootnoteReference"/>
          <w:sz w:val="24"/>
          <w:lang w:val="lt-LT"/>
        </w:rPr>
        <w:footnoteRef/>
      </w:r>
      <w:r w:rsidR="00F4677C" w:rsidRPr="00C841E8">
        <w:rPr>
          <w:sz w:val="24"/>
          <w:lang w:val="lt-LT"/>
        </w:rPr>
        <w:t xml:space="preserve"> </w:t>
      </w:r>
      <w:r w:rsidR="00F4677C" w:rsidRPr="00C841E8">
        <w:rPr>
          <w:sz w:val="24"/>
          <w:lang w:val="lt-LT"/>
        </w:rPr>
        <w:tab/>
      </w:r>
      <w:hyperlink r:id="rId10" w:history="1">
        <w:r w:rsidRPr="00C841E8">
          <w:rPr>
            <w:rStyle w:val="Hyperlink"/>
            <w:sz w:val="24"/>
            <w:lang w:val="lt-LT"/>
          </w:rPr>
          <w:t>https://ec.europa.eu/transparency/comitology-register/screen/documents/089880/5/consult?lang=lt</w:t>
        </w:r>
      </w:hyperlink>
      <w:r w:rsidRPr="00C841E8">
        <w:rPr>
          <w:rStyle w:val="Hyperlink"/>
          <w:sz w:val="24"/>
          <w:lang w:val="lt-LT"/>
        </w:rPr>
        <w:t>.</w:t>
      </w:r>
      <w:r w:rsidRPr="00C841E8">
        <w:rPr>
          <w:sz w:val="24"/>
          <w:lang w:val="lt-LT"/>
        </w:rPr>
        <w:t xml:space="preserve"> </w:t>
      </w:r>
    </w:p>
  </w:footnote>
  <w:footnote w:id="16">
    <w:p w:rsidR="00F64B90" w:rsidRPr="00F4677C" w:rsidRDefault="00F64B90" w:rsidP="00F4677C">
      <w:pPr>
        <w:pStyle w:val="FootnoteText"/>
        <w:ind w:left="567" w:hanging="567"/>
        <w:rPr>
          <w:sz w:val="24"/>
          <w:lang w:val="lt-LT"/>
        </w:rPr>
      </w:pPr>
      <w:r w:rsidRPr="00C841E8">
        <w:rPr>
          <w:sz w:val="24"/>
          <w:vertAlign w:val="superscript"/>
          <w:lang w:val="lt-LT"/>
        </w:rPr>
        <w:footnoteRef/>
      </w:r>
      <w:r w:rsidR="00F4677C" w:rsidRPr="00C841E8">
        <w:rPr>
          <w:sz w:val="24"/>
          <w:lang w:val="lt-LT"/>
        </w:rPr>
        <w:t xml:space="preserve"> </w:t>
      </w:r>
      <w:r w:rsidR="00F4677C" w:rsidRPr="00C841E8">
        <w:rPr>
          <w:sz w:val="24"/>
          <w:lang w:val="lt-LT"/>
        </w:rPr>
        <w:tab/>
      </w:r>
      <w:r w:rsidRPr="00C841E8">
        <w:rPr>
          <w:sz w:val="24"/>
          <w:lang w:val="lt-LT"/>
        </w:rPr>
        <w:t>COM(2020)0381.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77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77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7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1/2024"/>
    <w:docVar w:name="dvlangue" w:val="LT"/>
    <w:docVar w:name="dvnumam" w:val="0"/>
    <w:docVar w:name="dvpe" w:val="763.091"/>
    <w:docVar w:name="dvtitre" w:val="Europos Parlamento rezoliucija dėl Komisijos reglamento, kuriuo dėl didžiausios leidžiamosios ciprokonazolo ir spirodiklofeno liekanų koncentracijos tam tikruose produktuose arba ant jų iš dalies keičiami Europos Parlamento ir Tarybos reglamento (EB) Nr. 936/2005 II ir III priedai, projekto(D091952/05 – 2024/2759(RPS))"/>
  </w:docVars>
  <w:rsids>
    <w:rsidRoot w:val="00676B10"/>
    <w:rsid w:val="00002272"/>
    <w:rsid w:val="00064002"/>
    <w:rsid w:val="000677B9"/>
    <w:rsid w:val="000831BA"/>
    <w:rsid w:val="000A42CC"/>
    <w:rsid w:val="000E7DD9"/>
    <w:rsid w:val="0010095E"/>
    <w:rsid w:val="00125B37"/>
    <w:rsid w:val="00187494"/>
    <w:rsid w:val="001F32AE"/>
    <w:rsid w:val="00202183"/>
    <w:rsid w:val="002767FF"/>
    <w:rsid w:val="002B18FE"/>
    <w:rsid w:val="002B5493"/>
    <w:rsid w:val="00343214"/>
    <w:rsid w:val="0034777A"/>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478F"/>
    <w:rsid w:val="00545827"/>
    <w:rsid w:val="00560270"/>
    <w:rsid w:val="005C2568"/>
    <w:rsid w:val="005F1B17"/>
    <w:rsid w:val="006037C0"/>
    <w:rsid w:val="006631B6"/>
    <w:rsid w:val="00676B10"/>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3A5F"/>
    <w:rsid w:val="00BD48FE"/>
    <w:rsid w:val="00BD7BD8"/>
    <w:rsid w:val="00BE6ADC"/>
    <w:rsid w:val="00C05BFE"/>
    <w:rsid w:val="00C23CD4"/>
    <w:rsid w:val="00C61C0C"/>
    <w:rsid w:val="00C841E8"/>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677C"/>
    <w:rsid w:val="00F5134D"/>
    <w:rsid w:val="00F64B90"/>
    <w:rsid w:val="00F74202"/>
    <w:rsid w:val="00F87713"/>
    <w:rsid w:val="00FB4360"/>
    <w:rsid w:val="00FB563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9EA89E"/>
  <w15:chartTrackingRefBased/>
  <w15:docId w15:val="{9200D111-020C-4A08-9F64-43CD18270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64B90"/>
    <w:pPr>
      <w:spacing w:before="480" w:after="240"/>
    </w:pPr>
  </w:style>
  <w:style w:type="paragraph" w:customStyle="1" w:styleId="NormalHanging12a">
    <w:name w:val="NormalHanging12a"/>
    <w:basedOn w:val="Normal"/>
    <w:uiPriority w:val="99"/>
    <w:rsid w:val="00F64B90"/>
    <w:pPr>
      <w:spacing w:after="240"/>
      <w:ind w:left="567" w:hanging="567"/>
    </w:pPr>
  </w:style>
  <w:style w:type="character" w:styleId="Hyperlink">
    <w:name w:val="Hyperlink"/>
    <w:basedOn w:val="DefaultParagraphFont"/>
    <w:uiPriority w:val="99"/>
    <w:rsid w:val="00F64B9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ft.dk/samling/20181/almdel/MOF/bilag/407/2016336.pdf" TargetMode="External"/><Relationship Id="rId3" Type="http://schemas.openxmlformats.org/officeDocument/2006/relationships/hyperlink" Target="https://echa.europa.eu/documents/10162/6d98baeb-24aa-a683-28ec-d8adabee5461" TargetMode="External"/><Relationship Id="rId7" Type="http://schemas.openxmlformats.org/officeDocument/2006/relationships/hyperlink" Target="https://doi.org/10.1128/AEM.02295-20" TargetMode="External"/><Relationship Id="rId2" Type="http://schemas.openxmlformats.org/officeDocument/2006/relationships/hyperlink" Target="https://doi.org/10.2903/j.efsa.2010.1897" TargetMode="External"/><Relationship Id="rId1" Type="http://schemas.openxmlformats.org/officeDocument/2006/relationships/hyperlink" Target="https://doi.org/10.2903/j.efsa.2021.6483" TargetMode="External"/><Relationship Id="rId6" Type="http://schemas.openxmlformats.org/officeDocument/2006/relationships/hyperlink" Target="https://doi.org/10.2903/j.efsa.2010.1932" TargetMode="External"/><Relationship Id="rId5" Type="http://schemas.openxmlformats.org/officeDocument/2006/relationships/hyperlink" Target="https://doi.org/10.3389/ftox.2022.883254" TargetMode="External"/><Relationship Id="rId10" Type="http://schemas.openxmlformats.org/officeDocument/2006/relationships/hyperlink" Target="https://ec.europa.eu/transparency/comitology-register/screen/documents/089880/5/consult?lang=lt" TargetMode="External"/><Relationship Id="rId4" Type="http://schemas.openxmlformats.org/officeDocument/2006/relationships/hyperlink" Target="https://www.echa.europa.eu/substance-information/-/substanceinfo/100.130.443" TargetMode="External"/><Relationship Id="rId9" Type="http://schemas.openxmlformats.org/officeDocument/2006/relationships/hyperlink" Target="https://open.efsa.europa.eu/question/EFSA-Q-2022-000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C9079-0134-4B62-AB5B-2E59B28EC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6</Pages>
  <Words>1642</Words>
  <Characters>10887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4</cp:revision>
  <cp:lastPrinted>2004-11-19T15:42:00Z</cp:lastPrinted>
  <dcterms:created xsi:type="dcterms:W3CDTF">2024-10-22T08:22:00Z</dcterms:created>
  <dcterms:modified xsi:type="dcterms:W3CDTF">2024-11-18T15:30:00Z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B10-0021/2024</vt:lpwstr>
  </property>
  <property fmtid="{D5CDD505-2E9C-101B-9397-08002B2CF9AE}" pid="4" name="&lt;Type&gt;">
    <vt:lpwstr>RR</vt:lpwstr>
  </property>
</Properties>
</file>