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D2BB2" w:rsidTr="0010095E">
        <w:trPr>
          <w:trHeight w:hRule="exact" w:val="1418"/>
        </w:trPr>
        <w:tc>
          <w:tcPr>
            <w:tcW w:w="6804" w:type="dxa"/>
            <w:shd w:val="clear" w:color="auto" w:fill="auto"/>
            <w:vAlign w:val="center"/>
          </w:tcPr>
          <w:p w:rsidR="00751A4A" w:rsidRPr="009D2BB2" w:rsidRDefault="00714FC4" w:rsidP="0010095E">
            <w:pPr>
              <w:pStyle w:val="EPName"/>
            </w:pPr>
            <w:r w:rsidRPr="009D2BB2">
              <w:t>Eiropas Parlaments</w:t>
            </w:r>
          </w:p>
          <w:p w:rsidR="00751A4A" w:rsidRPr="009D2BB2" w:rsidRDefault="005F1B17" w:rsidP="005F1B17">
            <w:pPr>
              <w:pStyle w:val="EPTerm"/>
              <w:rPr>
                <w:rStyle w:val="HideTWBExt"/>
                <w:noProof w:val="0"/>
                <w:vanish w:val="0"/>
                <w:color w:val="auto"/>
              </w:rPr>
            </w:pPr>
            <w:r w:rsidRPr="009D2BB2">
              <w:t>2024</w:t>
            </w:r>
            <w:r w:rsidR="00817416" w:rsidRPr="009D2BB2">
              <w:t>-202</w:t>
            </w:r>
            <w:r w:rsidRPr="009D2BB2">
              <w:t>9</w:t>
            </w:r>
          </w:p>
        </w:tc>
        <w:tc>
          <w:tcPr>
            <w:tcW w:w="2268" w:type="dxa"/>
            <w:shd w:val="clear" w:color="auto" w:fill="auto"/>
          </w:tcPr>
          <w:p w:rsidR="00751A4A" w:rsidRPr="009D2BB2" w:rsidRDefault="00187494" w:rsidP="0010095E">
            <w:pPr>
              <w:pStyle w:val="EPLogo"/>
            </w:pPr>
            <w:r w:rsidRPr="009D2BB2">
              <w:rPr>
                <w:noProof/>
                <w:lang w:eastAsia="lv-LV"/>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D2BB2" w:rsidRDefault="00D058B8" w:rsidP="004C5D52">
      <w:pPr>
        <w:pStyle w:val="LineTop"/>
      </w:pPr>
    </w:p>
    <w:p w:rsidR="00680577" w:rsidRPr="009D2BB2" w:rsidRDefault="00714FC4" w:rsidP="00680577">
      <w:pPr>
        <w:pStyle w:val="EPBodyTA1"/>
      </w:pPr>
      <w:r w:rsidRPr="009D2BB2">
        <w:t>PIEŅEMTIE TEKSTI</w:t>
      </w:r>
    </w:p>
    <w:p w:rsidR="00D058B8" w:rsidRPr="009D2BB2" w:rsidRDefault="00D058B8" w:rsidP="00D058B8">
      <w:pPr>
        <w:pStyle w:val="LineBottom"/>
      </w:pPr>
    </w:p>
    <w:p w:rsidR="00714FC4" w:rsidRPr="009D2BB2" w:rsidRDefault="00714FC4" w:rsidP="00714FC4">
      <w:pPr>
        <w:pStyle w:val="ATHeading1"/>
      </w:pPr>
      <w:bookmarkStart w:id="0" w:name="TANumber"/>
      <w:r w:rsidRPr="009D2BB2">
        <w:t>P10_TA(2024)00</w:t>
      </w:r>
      <w:r w:rsidR="005D67F2" w:rsidRPr="009D2BB2">
        <w:t>07</w:t>
      </w:r>
      <w:bookmarkEnd w:id="0"/>
    </w:p>
    <w:p w:rsidR="00714FC4" w:rsidRPr="009D2BB2" w:rsidRDefault="001B5F4F" w:rsidP="001B5F4F">
      <w:pPr>
        <w:pStyle w:val="ATHeading2"/>
      </w:pPr>
      <w:bookmarkStart w:id="1" w:name="title"/>
      <w:r w:rsidRPr="009D2BB2">
        <w:t xml:space="preserve">Iebildumu izteikšana pret īstenošanas aktu: maksimāli pieļaujamie </w:t>
      </w:r>
      <w:proofErr w:type="spellStart"/>
      <w:r w:rsidRPr="009D2BB2">
        <w:t>ciprokonazola</w:t>
      </w:r>
      <w:proofErr w:type="spellEnd"/>
      <w:r w:rsidRPr="009D2BB2">
        <w:t xml:space="preserve"> atlieku līmeņi</w:t>
      </w:r>
      <w:bookmarkEnd w:id="1"/>
    </w:p>
    <w:p w:rsidR="00714FC4" w:rsidRPr="009D2BB2" w:rsidRDefault="00714FC4" w:rsidP="00714FC4">
      <w:pPr>
        <w:rPr>
          <w:i/>
          <w:vanish/>
        </w:rPr>
      </w:pPr>
      <w:r w:rsidRPr="009D2BB2">
        <w:rPr>
          <w:i/>
        </w:rPr>
        <w:fldChar w:fldCharType="begin"/>
      </w:r>
      <w:r w:rsidRPr="009D2BB2">
        <w:rPr>
          <w:i/>
        </w:rPr>
        <w:instrText xml:space="preserve"> TC"(</w:instrText>
      </w:r>
      <w:bookmarkStart w:id="2" w:name="DocNumber"/>
      <w:r w:rsidRPr="009D2BB2">
        <w:rPr>
          <w:i/>
        </w:rPr>
        <w:instrText>B10-0021/2024</w:instrText>
      </w:r>
      <w:bookmarkEnd w:id="2"/>
      <w:r w:rsidRPr="009D2BB2">
        <w:rPr>
          <w:i/>
        </w:rPr>
        <w:instrText xml:space="preserve">)"\l3 \n&gt; \* MERGEFORMAT </w:instrText>
      </w:r>
      <w:r w:rsidRPr="009D2BB2">
        <w:rPr>
          <w:i/>
        </w:rPr>
        <w:fldChar w:fldCharType="end"/>
      </w:r>
    </w:p>
    <w:p w:rsidR="00714FC4" w:rsidRPr="009D2BB2" w:rsidRDefault="00714FC4" w:rsidP="00714FC4">
      <w:pPr>
        <w:rPr>
          <w:vanish/>
        </w:rPr>
      </w:pPr>
      <w:bookmarkStart w:id="3" w:name="PE"/>
      <w:r w:rsidRPr="009D2BB2">
        <w:rPr>
          <w:vanish/>
        </w:rPr>
        <w:t>PE763.091</w:t>
      </w:r>
      <w:bookmarkEnd w:id="3"/>
    </w:p>
    <w:p w:rsidR="00972B38" w:rsidRPr="009D2BB2" w:rsidRDefault="00714FC4" w:rsidP="001B5F4F">
      <w:pPr>
        <w:pStyle w:val="ATHeading3"/>
      </w:pPr>
      <w:bookmarkStart w:id="4" w:name="Sujet"/>
      <w:r w:rsidRPr="009D2BB2">
        <w:t xml:space="preserve">Eiropas Parlamenta 2024. gada </w:t>
      </w:r>
      <w:r w:rsidR="001B5F4F" w:rsidRPr="009D2BB2">
        <w:t>18</w:t>
      </w:r>
      <w:r w:rsidRPr="009D2BB2">
        <w:t xml:space="preserve">. </w:t>
      </w:r>
      <w:r w:rsidR="001B5F4F" w:rsidRPr="009D2BB2">
        <w:t>septembra</w:t>
      </w:r>
      <w:r w:rsidRPr="009D2BB2">
        <w:t xml:space="preserve"> rezolūcija par priekšlikumu Komisijas regulai, ar ko attiecībā uz maksimāli pieļaujamajiem </w:t>
      </w:r>
      <w:proofErr w:type="spellStart"/>
      <w:r w:rsidRPr="009D2BB2">
        <w:t>ciprokonazola</w:t>
      </w:r>
      <w:proofErr w:type="spellEnd"/>
      <w:r w:rsidRPr="009D2BB2">
        <w:t xml:space="preserve"> un </w:t>
      </w:r>
      <w:proofErr w:type="spellStart"/>
      <w:r w:rsidRPr="009D2BB2">
        <w:t>spirodiklofēna</w:t>
      </w:r>
      <w:proofErr w:type="spellEnd"/>
      <w:r w:rsidRPr="009D2BB2">
        <w:t xml:space="preserve"> atlieku līmeņiem konkrētos produktos un uz tiem groza Eiropas Parlamenta un Padomes Regulas (EK) Nr. 396/2005 II un III pielikumu</w:t>
      </w:r>
      <w:bookmarkEnd w:id="4"/>
      <w:r w:rsidRPr="009D2BB2">
        <w:t xml:space="preserve"> </w:t>
      </w:r>
      <w:bookmarkStart w:id="5" w:name="References"/>
      <w:r w:rsidRPr="009D2BB2">
        <w:t>(D091952/05 – 2024/2759(RPS))</w:t>
      </w:r>
      <w:bookmarkStart w:id="6" w:name="TextBodyBegin"/>
      <w:bookmarkEnd w:id="5"/>
      <w:bookmarkEnd w:id="6"/>
    </w:p>
    <w:p w:rsidR="00972B38" w:rsidRPr="009D2BB2" w:rsidRDefault="00972B38" w:rsidP="00972B38">
      <w:pPr>
        <w:pStyle w:val="EPComma"/>
      </w:pPr>
      <w:r w:rsidRPr="009D2BB2">
        <w:rPr>
          <w:i/>
          <w:iCs/>
        </w:rPr>
        <w:t>Eiropas Parlaments,</w:t>
      </w:r>
    </w:p>
    <w:p w:rsidR="00972B38" w:rsidRPr="009D2BB2" w:rsidRDefault="00972B38" w:rsidP="00972B38">
      <w:pPr>
        <w:pStyle w:val="NormalHanging12a"/>
      </w:pPr>
      <w:r w:rsidRPr="009D2BB2">
        <w:t>–</w:t>
      </w:r>
      <w:r w:rsidRPr="009D2BB2">
        <w:tab/>
        <w:t xml:space="preserve">ņemot vērā priekšlikumu Komisijas regulai, ar ko attiecībā uz maksimāli pieļaujamajiem </w:t>
      </w:r>
      <w:proofErr w:type="spellStart"/>
      <w:r w:rsidRPr="009D2BB2">
        <w:t>ciprokonazola</w:t>
      </w:r>
      <w:proofErr w:type="spellEnd"/>
      <w:r w:rsidRPr="009D2BB2">
        <w:t xml:space="preserve"> un </w:t>
      </w:r>
      <w:proofErr w:type="spellStart"/>
      <w:r w:rsidRPr="009D2BB2">
        <w:t>spirodiklofēna</w:t>
      </w:r>
      <w:proofErr w:type="spellEnd"/>
      <w:r w:rsidRPr="009D2BB2">
        <w:t xml:space="preserve"> atlieku līmeņiem konkrētos produktos un uz tiem groza Eiropas Parlamenta un Padomes Regulas (EK) Nr. 396/2005 II un III pielikumu (D091952/05),</w:t>
      </w:r>
    </w:p>
    <w:p w:rsidR="00972B38" w:rsidRPr="009D2BB2" w:rsidRDefault="00972B38" w:rsidP="00972B38">
      <w:pPr>
        <w:pStyle w:val="NormalHanging12a"/>
        <w:rPr>
          <w:szCs w:val="24"/>
        </w:rPr>
      </w:pPr>
      <w:r w:rsidRPr="009D2BB2">
        <w:t>–</w:t>
      </w:r>
      <w:r w:rsidRPr="009D2BB2">
        <w:tab/>
        <w:t>ņemot vērā Eiropas Parlamenta un Padomes 2005. gada 23. februāra Regulu (EK) Nr. 396/2005, ar ko paredz maksimāli pieļaujamos pesticīdu atlieku līmeņus augu un dzīvnieku izcelsmes pārtikā un barībā un ar ko groza Padomes Direktīvu 91/414/EEK</w:t>
      </w:r>
      <w:r w:rsidRPr="009D2BB2">
        <w:rPr>
          <w:rStyle w:val="FootnoteReference"/>
        </w:rPr>
        <w:footnoteReference w:id="1"/>
      </w:r>
      <w:r w:rsidRPr="009D2BB2">
        <w:t>, un jo īpaši tās 14. panta 1. punkta a) apakšpunktu un 49. panta 2. punktu,</w:t>
      </w:r>
    </w:p>
    <w:p w:rsidR="00972B38" w:rsidRPr="009D2BB2" w:rsidRDefault="00972B38" w:rsidP="00972B38">
      <w:pPr>
        <w:pStyle w:val="NormalHanging12a"/>
        <w:rPr>
          <w:szCs w:val="24"/>
        </w:rPr>
      </w:pPr>
      <w:r w:rsidRPr="009D2BB2">
        <w:t>–</w:t>
      </w:r>
      <w:r w:rsidRPr="009D2BB2">
        <w:tab/>
        <w:t>ņemot vērā Eiropas Parlamenta un Padomes 2009. gada 21. oktobra Regulu (EK) Nr. 1107/2009 par augu aizsardzības līdzekļu laišanu tirgū, ar ko atceļ Padomes Direktīvas 79/117/EEK un 91/414/EEK</w:t>
      </w:r>
      <w:r w:rsidRPr="009D2BB2">
        <w:rPr>
          <w:rStyle w:val="FootnoteReference"/>
          <w:szCs w:val="24"/>
        </w:rPr>
        <w:footnoteReference w:id="2"/>
      </w:r>
      <w:r w:rsidRPr="009D2BB2">
        <w:t>, un jo īpaši tās 4. panta 1. punktu, 4. panta 2. punkta pirmās daļas a) apakšpunktu un II pielikuma 3.6.4. punktu,</w:t>
      </w:r>
    </w:p>
    <w:p w:rsidR="00972B38" w:rsidRPr="009D2BB2" w:rsidRDefault="00972B38" w:rsidP="00972B38">
      <w:pPr>
        <w:pStyle w:val="NormalHanging12a"/>
        <w:rPr>
          <w:szCs w:val="24"/>
        </w:rPr>
      </w:pPr>
      <w:r w:rsidRPr="009D2BB2">
        <w:t>–</w:t>
      </w:r>
      <w:r w:rsidRPr="009D2BB2">
        <w:tab/>
        <w:t>ņemot vērā Eiropas Parlamenta un Padomes 2002. gada 28. janvāra Regulu (EK) Nr. 178/2002, ar ko paredz pārtikas aprites tiesību aktu vispārīgus principus un prasības, izveido Eiropas Pārtikas nekaitīguma iestādi un paredz procedūras saistībā ar pārtikas nekaitīgumu</w:t>
      </w:r>
      <w:r w:rsidRPr="009D2BB2">
        <w:rPr>
          <w:rStyle w:val="FootnoteReference"/>
          <w:szCs w:val="24"/>
        </w:rPr>
        <w:footnoteReference w:id="3"/>
      </w:r>
      <w:r w:rsidRPr="009D2BB2">
        <w:t>, un jo īpaši tās 5. panta 1. punktu,</w:t>
      </w:r>
    </w:p>
    <w:p w:rsidR="00972B38" w:rsidRPr="009D2BB2" w:rsidRDefault="00972B38" w:rsidP="00972B38">
      <w:pPr>
        <w:pStyle w:val="NormalHanging12a"/>
        <w:rPr>
          <w:szCs w:val="24"/>
        </w:rPr>
      </w:pPr>
      <w:r w:rsidRPr="009D2BB2">
        <w:t>–</w:t>
      </w:r>
      <w:r w:rsidRPr="009D2BB2">
        <w:tab/>
        <w:t>ņemot vērā Līguma par Eiropas Savienības darbību (LESD) 11., 13., 168. un 191. pantu,</w:t>
      </w:r>
    </w:p>
    <w:p w:rsidR="00972B38" w:rsidRPr="009D2BB2" w:rsidRDefault="00972B38" w:rsidP="00972B38">
      <w:pPr>
        <w:pStyle w:val="NormalHanging12a"/>
      </w:pPr>
      <w:r w:rsidRPr="009D2BB2">
        <w:lastRenderedPageBreak/>
        <w:t>–</w:t>
      </w:r>
      <w:r w:rsidRPr="009D2BB2">
        <w:tab/>
        <w:t>ņemot vērā Eiropas Pārtikas nekaitīguma iestādes (</w:t>
      </w:r>
      <w:r w:rsidRPr="009D2BB2">
        <w:rPr>
          <w:i/>
          <w:iCs/>
        </w:rPr>
        <w:t>EFSA</w:t>
      </w:r>
      <w:r w:rsidRPr="009D2BB2">
        <w:t>) pamatoto atzinumu, kas pieņemts 2021. gada 19. februārī un publicēts 2021. gada 22. martā</w:t>
      </w:r>
      <w:r w:rsidRPr="009D2BB2">
        <w:rPr>
          <w:rStyle w:val="FootnoteReference"/>
          <w:szCs w:val="24"/>
        </w:rPr>
        <w:footnoteReference w:id="4"/>
      </w:r>
      <w:r w:rsidRPr="009D2BB2">
        <w:t>,</w:t>
      </w:r>
    </w:p>
    <w:p w:rsidR="00972B38" w:rsidRPr="009D2BB2" w:rsidRDefault="00972B38" w:rsidP="00972B38">
      <w:pPr>
        <w:pStyle w:val="NormalHanging12a"/>
        <w:rPr>
          <w:szCs w:val="24"/>
        </w:rPr>
      </w:pPr>
      <w:r w:rsidRPr="009D2BB2">
        <w:t>–</w:t>
      </w:r>
      <w:r w:rsidRPr="009D2BB2">
        <w:tab/>
        <w:t>ņemot vērā</w:t>
      </w:r>
      <w:r w:rsidRPr="009D2BB2">
        <w:rPr>
          <w:i/>
          <w:iCs/>
        </w:rPr>
        <w:t xml:space="preserve"> EFSA</w:t>
      </w:r>
      <w:r w:rsidRPr="009D2BB2">
        <w:t xml:space="preserve"> slēdzienu par pesticīdu salīdzinošo analīzi, kas pieņemts 2010. gada 8. novembrī un publicēts 2010. gada 25.</w:t>
      </w:r>
      <w:r w:rsidR="00FC2813">
        <w:t> </w:t>
      </w:r>
      <w:r w:rsidRPr="009D2BB2">
        <w:t>novembrī</w:t>
      </w:r>
      <w:r w:rsidRPr="009D2BB2">
        <w:rPr>
          <w:rStyle w:val="FootnoteReference"/>
        </w:rPr>
        <w:footnoteReference w:id="5"/>
      </w:r>
      <w:r w:rsidRPr="009D2BB2">
        <w:t>,</w:t>
      </w:r>
    </w:p>
    <w:p w:rsidR="00972B38" w:rsidRPr="009D2BB2" w:rsidRDefault="00972B38" w:rsidP="00972B38">
      <w:pPr>
        <w:pStyle w:val="NormalHanging12a"/>
        <w:rPr>
          <w:szCs w:val="24"/>
        </w:rPr>
      </w:pPr>
      <w:r w:rsidRPr="009D2BB2">
        <w:t>–</w:t>
      </w:r>
      <w:r w:rsidRPr="009D2BB2">
        <w:tab/>
        <w:t>ņemot vērā Eiropas Ķimikāliju aģentūras Riska novērtēšanas komitejas (RAC) 2015. gada 11. septembrī pieņemto atzinumu</w:t>
      </w:r>
      <w:r w:rsidRPr="009D2BB2">
        <w:rPr>
          <w:rStyle w:val="FootnoteReference"/>
          <w:szCs w:val="24"/>
        </w:rPr>
        <w:footnoteReference w:id="6"/>
      </w:r>
      <w:r w:rsidRPr="009D2BB2">
        <w:t>,</w:t>
      </w:r>
    </w:p>
    <w:p w:rsidR="00972B38" w:rsidRPr="009D2BB2" w:rsidRDefault="00972B38" w:rsidP="00972B38">
      <w:pPr>
        <w:pStyle w:val="NormalHanging12a"/>
      </w:pPr>
      <w:r w:rsidRPr="009D2BB2">
        <w:t>–</w:t>
      </w:r>
      <w:r w:rsidRPr="009D2BB2">
        <w:tab/>
        <w:t>ņemot vērā 5.a panta 3. punkta b) apakšpunktu un 5.a panta 5. punktu Padomes 1999. gada 28. jūnija Lēmumā 1999/468/EK, ar ko nosaka Komisijai piešķirto ieviešanas pilnvaru īstenošanas kārtību</w:t>
      </w:r>
      <w:r w:rsidRPr="009D2BB2">
        <w:rPr>
          <w:rStyle w:val="FootnoteReference"/>
        </w:rPr>
        <w:footnoteReference w:id="7"/>
      </w:r>
      <w:r w:rsidRPr="009D2BB2">
        <w:t>,</w:t>
      </w:r>
    </w:p>
    <w:p w:rsidR="00972B38" w:rsidRPr="009D2BB2" w:rsidRDefault="00972B38" w:rsidP="00972B38">
      <w:pPr>
        <w:pStyle w:val="NormalHanging12a"/>
      </w:pPr>
      <w:r w:rsidRPr="009D2BB2">
        <w:t>–</w:t>
      </w:r>
      <w:r w:rsidRPr="009D2BB2">
        <w:tab/>
        <w:t>ņemot vērā Reglamenta 115. panta 2. un 3. punktu, kā arī 4. punkta c) apakšpunktu,</w:t>
      </w:r>
    </w:p>
    <w:p w:rsidR="00972B38" w:rsidRPr="009D2BB2" w:rsidRDefault="00972B38" w:rsidP="00972B38">
      <w:pPr>
        <w:pStyle w:val="NormalHanging12a"/>
      </w:pPr>
      <w:r w:rsidRPr="009D2BB2">
        <w:t>–</w:t>
      </w:r>
      <w:r w:rsidRPr="009D2BB2">
        <w:tab/>
        <w:t>ņemot vērā Vides, sabiedrības veselības un pārtikas nekaitīguma komitejas rezolūcijas priekšlikumu,</w:t>
      </w:r>
    </w:p>
    <w:p w:rsidR="00972B38" w:rsidRPr="009D2BB2" w:rsidRDefault="00972B38" w:rsidP="00972B38">
      <w:pPr>
        <w:pStyle w:val="NormalHanging12a"/>
      </w:pPr>
      <w:r w:rsidRPr="009D2BB2">
        <w:t>A.</w:t>
      </w:r>
      <w:r w:rsidRPr="009D2BB2">
        <w:tab/>
        <w:t xml:space="preserve">tā kā lauksaimnieku 2024. gada pirmajā pusē notikušo protestu viena no galvenajām prasībām bija taisnīga un vienlīdzīga attieksme pret produktiem, kas importēti no </w:t>
      </w:r>
      <w:proofErr w:type="spellStart"/>
      <w:r w:rsidRPr="009D2BB2">
        <w:t>trešām</w:t>
      </w:r>
      <w:proofErr w:type="spellEnd"/>
      <w:r w:rsidRPr="009D2BB2">
        <w:t xml:space="preserve"> valstīm, kam būtu jāatbilst tādiem pašiem standartiem kā Savienībā ražotajiem produktiem;</w:t>
      </w:r>
    </w:p>
    <w:p w:rsidR="00972B38" w:rsidRPr="009D2BB2" w:rsidRDefault="00972B38" w:rsidP="00972B38">
      <w:pPr>
        <w:pStyle w:val="NormalHanging12a"/>
      </w:pPr>
      <w:r w:rsidRPr="009D2BB2">
        <w:t>B.</w:t>
      </w:r>
      <w:r w:rsidRPr="009D2BB2">
        <w:tab/>
        <w:t>tā kā Komisijas regulas projekta pieņemšana ļautu turpināt importu Savienībā, kas neatbilst standartiem, kurus ievēro Savienības lauksaimnieki;</w:t>
      </w:r>
    </w:p>
    <w:p w:rsidR="00972B38" w:rsidRPr="009D2BB2" w:rsidRDefault="00972B38" w:rsidP="00972B38">
      <w:pPr>
        <w:pStyle w:val="NormalHanging12a"/>
      </w:pPr>
      <w:r w:rsidRPr="009D2BB2">
        <w:t>C.</w:t>
      </w:r>
      <w:r w:rsidRPr="009D2BB2">
        <w:tab/>
        <w:t>tā kā šāds stāvoklis radītu Savienības lauksaimniekiem neizdevīgākus konkurences apstākļus;</w:t>
      </w:r>
    </w:p>
    <w:p w:rsidR="00972B38" w:rsidRPr="009D2BB2" w:rsidRDefault="00972B38" w:rsidP="00972B38">
      <w:pPr>
        <w:pStyle w:val="NormalHanging12a"/>
      </w:pPr>
      <w:r w:rsidRPr="009D2BB2">
        <w:t>D.</w:t>
      </w:r>
      <w:r w:rsidRPr="009D2BB2">
        <w:tab/>
        <w:t xml:space="preserve">tā kā </w:t>
      </w:r>
      <w:proofErr w:type="spellStart"/>
      <w:r w:rsidRPr="009D2BB2">
        <w:t>ciprokonazols</w:t>
      </w:r>
      <w:proofErr w:type="spellEnd"/>
      <w:r w:rsidRPr="009D2BB2">
        <w:t xml:space="preserve"> ir </w:t>
      </w:r>
      <w:proofErr w:type="spellStart"/>
      <w:r w:rsidRPr="009D2BB2">
        <w:t>azolu</w:t>
      </w:r>
      <w:proofErr w:type="spellEnd"/>
      <w:r w:rsidRPr="009D2BB2">
        <w:t xml:space="preserve"> klases fungicīds, ko galvenokārt izmanto graudaugiem, kafijai, cukurbietēm, āboliem un vīnogām, kā arī zemesriekstiem;</w:t>
      </w:r>
    </w:p>
    <w:p w:rsidR="00972B38" w:rsidRPr="009D2BB2" w:rsidRDefault="00972B38" w:rsidP="00972B38">
      <w:pPr>
        <w:pStyle w:val="NormalHanging12a"/>
      </w:pPr>
      <w:r w:rsidRPr="009D2BB2">
        <w:t>E.</w:t>
      </w:r>
      <w:r w:rsidRPr="009D2BB2">
        <w:tab/>
        <w:t xml:space="preserve">tā kā darbīgās vielas </w:t>
      </w:r>
      <w:proofErr w:type="spellStart"/>
      <w:r w:rsidRPr="009D2BB2">
        <w:t>ciprokonazola</w:t>
      </w:r>
      <w:proofErr w:type="spellEnd"/>
      <w:r w:rsidRPr="009D2BB2">
        <w:t xml:space="preserve"> apstiprinājuma termiņš beidzās 2021. gada 31. maijā; tā kā atjaunošanas pieteikums tika iesniegts 2018. gada septembrī, bet 2018. gada decembrī tas tika at</w:t>
      </w:r>
      <w:r w:rsidR="00FC2813">
        <w:t xml:space="preserve">saukts; tā </w:t>
      </w:r>
      <w:r w:rsidRPr="009D2BB2">
        <w:t xml:space="preserve">kā visas līdzšinējās darbīgo vielu </w:t>
      </w:r>
      <w:proofErr w:type="spellStart"/>
      <w:r w:rsidRPr="009D2BB2">
        <w:t>ciprokonazolu</w:t>
      </w:r>
      <w:proofErr w:type="spellEnd"/>
      <w:r w:rsidRPr="009D2BB2">
        <w:t xml:space="preserve"> saturošu augu aizsardzības līdzekļu atļaujas ir atceltas;</w:t>
      </w:r>
    </w:p>
    <w:p w:rsidR="00972B38" w:rsidRPr="009D2BB2" w:rsidRDefault="00972B38" w:rsidP="00972B38">
      <w:pPr>
        <w:pStyle w:val="NormalHanging12a"/>
      </w:pPr>
      <w:r w:rsidRPr="009D2BB2">
        <w:t>F.</w:t>
      </w:r>
      <w:r w:rsidRPr="009D2BB2">
        <w:tab/>
        <w:t xml:space="preserve">tā kā </w:t>
      </w:r>
      <w:proofErr w:type="spellStart"/>
      <w:r w:rsidRPr="009D2BB2">
        <w:t>ciprokonazols</w:t>
      </w:r>
      <w:proofErr w:type="spellEnd"/>
      <w:r w:rsidRPr="009D2BB2">
        <w:t xml:space="preserve"> saskaņā ar Eiropas Parlamenta un Padomes Regulu (EK) Nr. </w:t>
      </w:r>
      <w:r w:rsidRPr="009D2BB2">
        <w:lastRenderedPageBreak/>
        <w:t>1272/2008</w:t>
      </w:r>
      <w:r w:rsidRPr="009D2BB2">
        <w:rPr>
          <w:rStyle w:val="FootnoteReference"/>
        </w:rPr>
        <w:footnoteReference w:id="8"/>
      </w:r>
      <w:r w:rsidRPr="009D2BB2">
        <w:t xml:space="preserve"> ir klasificēts kā reproduktīvajai sistēmai toksiska 1.B kategorijas viela, kas ir toksiska, ja norij (</w:t>
      </w:r>
      <w:proofErr w:type="spellStart"/>
      <w:r w:rsidRPr="009D2BB2">
        <w:t>acute</w:t>
      </w:r>
      <w:proofErr w:type="spellEnd"/>
      <w:r w:rsidRPr="009D2BB2">
        <w:t xml:space="preserve"> </w:t>
      </w:r>
      <w:proofErr w:type="spellStart"/>
      <w:r w:rsidRPr="009D2BB2">
        <w:t>tox</w:t>
      </w:r>
      <w:proofErr w:type="spellEnd"/>
      <w:r w:rsidRPr="009D2BB2">
        <w:t>. 3), toksisks aknām (STOT RE 2), kā arī ļoti toksisks ūdens organismiem (</w:t>
      </w:r>
      <w:proofErr w:type="spellStart"/>
      <w:r w:rsidRPr="009D2BB2">
        <w:t>aquatic</w:t>
      </w:r>
      <w:proofErr w:type="spellEnd"/>
      <w:r w:rsidRPr="009D2BB2">
        <w:t xml:space="preserve"> </w:t>
      </w:r>
      <w:proofErr w:type="spellStart"/>
      <w:r w:rsidRPr="009D2BB2">
        <w:t>acute</w:t>
      </w:r>
      <w:proofErr w:type="spellEnd"/>
      <w:r w:rsidRPr="009D2BB2">
        <w:t xml:space="preserve"> 1) un ļoti toksisks ūdens organismiem ar ilglaicīgām sekām (</w:t>
      </w:r>
      <w:proofErr w:type="spellStart"/>
      <w:r w:rsidRPr="009D2BB2">
        <w:t>aquatic</w:t>
      </w:r>
      <w:proofErr w:type="spellEnd"/>
      <w:r w:rsidRPr="009D2BB2">
        <w:t xml:space="preserve"> </w:t>
      </w:r>
      <w:proofErr w:type="spellStart"/>
      <w:r w:rsidRPr="009D2BB2">
        <w:t>chronic</w:t>
      </w:r>
      <w:proofErr w:type="spellEnd"/>
      <w:r w:rsidRPr="009D2BB2">
        <w:t xml:space="preserve"> 1)</w:t>
      </w:r>
      <w:r w:rsidRPr="009D2BB2">
        <w:rPr>
          <w:rStyle w:val="FootnoteReference"/>
        </w:rPr>
        <w:footnoteReference w:id="9"/>
      </w:r>
      <w:r w:rsidRPr="009D2BB2">
        <w:t>;</w:t>
      </w:r>
    </w:p>
    <w:p w:rsidR="00972B38" w:rsidRPr="009D2BB2" w:rsidRDefault="00972B38" w:rsidP="00972B38">
      <w:pPr>
        <w:pStyle w:val="NormalHanging12a"/>
      </w:pPr>
      <w:r w:rsidRPr="009D2BB2">
        <w:t>G.</w:t>
      </w:r>
      <w:r w:rsidRPr="009D2BB2">
        <w:tab/>
        <w:t xml:space="preserve">tā kā </w:t>
      </w:r>
      <w:proofErr w:type="spellStart"/>
      <w:r w:rsidRPr="009D2BB2">
        <w:t>ciprokonazols</w:t>
      </w:r>
      <w:proofErr w:type="spellEnd"/>
      <w:r w:rsidRPr="009D2BB2">
        <w:t xml:space="preserve"> pieder </w:t>
      </w:r>
      <w:proofErr w:type="spellStart"/>
      <w:r w:rsidRPr="009D2BB2">
        <w:t>ergosterola</w:t>
      </w:r>
      <w:proofErr w:type="spellEnd"/>
      <w:r w:rsidRPr="009D2BB2">
        <w:t xml:space="preserve"> biosintēzes inhibitoru </w:t>
      </w:r>
      <w:proofErr w:type="spellStart"/>
      <w:r w:rsidRPr="009D2BB2">
        <w:t>triazola</w:t>
      </w:r>
      <w:proofErr w:type="spellEnd"/>
      <w:r w:rsidRPr="009D2BB2">
        <w:t xml:space="preserve"> grupai un tādējādi tam var piemist endokrīni </w:t>
      </w:r>
      <w:proofErr w:type="spellStart"/>
      <w:r w:rsidRPr="009D2BB2">
        <w:t>disruptīvas</w:t>
      </w:r>
      <w:proofErr w:type="spellEnd"/>
      <w:r w:rsidRPr="009D2BB2">
        <w:t xml:space="preserve"> īpašības</w:t>
      </w:r>
      <w:r w:rsidRPr="009D2BB2">
        <w:rPr>
          <w:rStyle w:val="FootnoteReference"/>
        </w:rPr>
        <w:footnoteReference w:id="10"/>
      </w:r>
      <w:r w:rsidRPr="009D2BB2">
        <w:t xml:space="preserve">; tā kā </w:t>
      </w:r>
      <w:r w:rsidRPr="009D2BB2">
        <w:rPr>
          <w:i/>
          <w:iCs/>
        </w:rPr>
        <w:t>EFSA</w:t>
      </w:r>
      <w:r w:rsidRPr="009D2BB2">
        <w:t xml:space="preserve"> nav novērtējusi tā endokrīni </w:t>
      </w:r>
      <w:proofErr w:type="spellStart"/>
      <w:r w:rsidRPr="009D2BB2">
        <w:t>disruptīvo</w:t>
      </w:r>
      <w:proofErr w:type="spellEnd"/>
      <w:r w:rsidRPr="009D2BB2">
        <w:t xml:space="preserve"> īpašību potenciālu saskaņā ar zinātniskajiem kritērijiem endokrīni </w:t>
      </w:r>
      <w:proofErr w:type="spellStart"/>
      <w:r w:rsidRPr="009D2BB2">
        <w:t>disruptīvu</w:t>
      </w:r>
      <w:proofErr w:type="spellEnd"/>
      <w:r w:rsidRPr="009D2BB2">
        <w:t xml:space="preserve"> īpašību noteikšanai, kas izklāstīti Komisijas Regulā (ES) 2018/605</w:t>
      </w:r>
      <w:r w:rsidRPr="009D2BB2">
        <w:rPr>
          <w:rStyle w:val="FootnoteReference"/>
        </w:rPr>
        <w:footnoteReference w:id="11"/>
      </w:r>
      <w:r w:rsidRPr="009D2BB2">
        <w:t xml:space="preserve">, kuru piemēro kopš 2018. gada 10. novembra; tā kā ar endokrīno sistēmu saistīta iedarbība bieži vien rodas mazu devu līmenī un endokrīnajiem </w:t>
      </w:r>
      <w:proofErr w:type="spellStart"/>
      <w:r w:rsidRPr="009D2BB2">
        <w:t>disruptoriem</w:t>
      </w:r>
      <w:proofErr w:type="spellEnd"/>
      <w:r w:rsidRPr="009D2BB2">
        <w:t xml:space="preserve"> parasti nav drošas robežvērtības</w:t>
      </w:r>
      <w:r w:rsidRPr="009D2BB2">
        <w:rPr>
          <w:rStyle w:val="FootnoteReference"/>
        </w:rPr>
        <w:footnoteReference w:id="12"/>
      </w:r>
      <w:r w:rsidRPr="009D2BB2">
        <w:t>;</w:t>
      </w:r>
    </w:p>
    <w:p w:rsidR="00972B38" w:rsidRPr="009D2BB2" w:rsidRDefault="00972B38" w:rsidP="00972B38">
      <w:pPr>
        <w:pStyle w:val="NormalHanging12a"/>
      </w:pPr>
      <w:r w:rsidRPr="009D2BB2">
        <w:t>H.</w:t>
      </w:r>
      <w:r w:rsidRPr="009D2BB2">
        <w:tab/>
        <w:t xml:space="preserve">tā kā arvien vairāk publikācijās tiek uzsvērts, ka </w:t>
      </w:r>
      <w:proofErr w:type="spellStart"/>
      <w:r w:rsidRPr="009D2BB2">
        <w:t>azola</w:t>
      </w:r>
      <w:proofErr w:type="spellEnd"/>
      <w:r w:rsidRPr="009D2BB2">
        <w:t xml:space="preserve"> fungicīdi ir nozīmīgs vides rezistences pret </w:t>
      </w:r>
      <w:proofErr w:type="spellStart"/>
      <w:r w:rsidRPr="009D2BB2">
        <w:rPr>
          <w:i/>
        </w:rPr>
        <w:t>Aspergillus</w:t>
      </w:r>
      <w:proofErr w:type="spellEnd"/>
      <w:r w:rsidRPr="009D2BB2">
        <w:rPr>
          <w:i/>
        </w:rPr>
        <w:t xml:space="preserve"> </w:t>
      </w:r>
      <w:proofErr w:type="spellStart"/>
      <w:r w:rsidRPr="009D2BB2">
        <w:rPr>
          <w:i/>
        </w:rPr>
        <w:t>spp</w:t>
      </w:r>
      <w:proofErr w:type="spellEnd"/>
      <w:r w:rsidRPr="009D2BB2">
        <w:rPr>
          <w:i/>
        </w:rPr>
        <w:t xml:space="preserve"> </w:t>
      </w:r>
      <w:r w:rsidRPr="009D2BB2">
        <w:t>pieauguma avots</w:t>
      </w:r>
      <w:r w:rsidRPr="009D2BB2">
        <w:rPr>
          <w:rStyle w:val="FootnoteReference"/>
        </w:rPr>
        <w:footnoteReference w:id="13"/>
      </w:r>
      <w:r w:rsidRPr="009D2BB2">
        <w:t xml:space="preserve">; tā kā Komisija ir pieprasījusi EFSA novērtēt </w:t>
      </w:r>
      <w:proofErr w:type="spellStart"/>
      <w:r w:rsidRPr="009D2BB2">
        <w:t>azolu</w:t>
      </w:r>
      <w:proofErr w:type="spellEnd"/>
      <w:r w:rsidRPr="009D2BB2">
        <w:t xml:space="preserve"> fungicīdu, kas nav paredzēti cilvēkiem, lietošanas ietekmi uz </w:t>
      </w:r>
      <w:proofErr w:type="spellStart"/>
      <w:r w:rsidRPr="009D2BB2">
        <w:t>azolu</w:t>
      </w:r>
      <w:proofErr w:type="spellEnd"/>
      <w:r w:rsidRPr="009D2BB2">
        <w:t xml:space="preserve"> </w:t>
      </w:r>
      <w:proofErr w:type="spellStart"/>
      <w:r w:rsidRPr="009D2BB2">
        <w:t>rezistentu</w:t>
      </w:r>
      <w:proofErr w:type="spellEnd"/>
      <w:r w:rsidRPr="009D2BB2">
        <w:t xml:space="preserve"> </w:t>
      </w:r>
      <w:proofErr w:type="spellStart"/>
      <w:r w:rsidRPr="009D2BB2">
        <w:rPr>
          <w:i/>
        </w:rPr>
        <w:t>Aspergillus</w:t>
      </w:r>
      <w:proofErr w:type="spellEnd"/>
      <w:r w:rsidRPr="009D2BB2">
        <w:rPr>
          <w:i/>
        </w:rPr>
        <w:t xml:space="preserve"> </w:t>
      </w:r>
      <w:proofErr w:type="spellStart"/>
      <w:r w:rsidRPr="009D2BB2">
        <w:rPr>
          <w:i/>
        </w:rPr>
        <w:t>spp</w:t>
      </w:r>
      <w:proofErr w:type="spellEnd"/>
      <w:r w:rsidRPr="009D2BB2">
        <w:rPr>
          <w:i/>
        </w:rPr>
        <w:t>.</w:t>
      </w:r>
      <w:r w:rsidRPr="009D2BB2">
        <w:t xml:space="preserve"> attīstību; tā kā pieprasītais zinātniskais ziņojums vēl nav publicēts un ir paredzams, ka to pabeigs tikai 2024. gada decembrī</w:t>
      </w:r>
      <w:r w:rsidRPr="009D2BB2">
        <w:rPr>
          <w:rStyle w:val="FootnoteReference"/>
        </w:rPr>
        <w:footnoteReference w:id="14"/>
      </w:r>
      <w:r w:rsidRPr="009D2BB2">
        <w:t>;</w:t>
      </w:r>
    </w:p>
    <w:p w:rsidR="00972B38" w:rsidRPr="009D2BB2" w:rsidRDefault="00972B38" w:rsidP="00972B38">
      <w:pPr>
        <w:pStyle w:val="NormalHanging12a"/>
      </w:pPr>
      <w:r w:rsidRPr="009D2BB2">
        <w:rPr>
          <w:color w:val="000000" w:themeColor="text1"/>
        </w:rPr>
        <w:t>I.</w:t>
      </w:r>
      <w:r w:rsidRPr="009D2BB2">
        <w:rPr>
          <w:color w:val="000000" w:themeColor="text1"/>
        </w:rPr>
        <w:tab/>
        <w:t xml:space="preserve">tā kā </w:t>
      </w:r>
      <w:r w:rsidRPr="009D2BB2">
        <w:t xml:space="preserve">tādēļ ir lietderīgi svītrot spēkā esošos </w:t>
      </w:r>
      <w:proofErr w:type="spellStart"/>
      <w:r w:rsidRPr="009D2BB2">
        <w:t>ciprokonazola</w:t>
      </w:r>
      <w:proofErr w:type="spellEnd"/>
      <w:r w:rsidRPr="009D2BB2">
        <w:t xml:space="preserve"> maksimālos atlieku līmeņus (MAL), kas noteikti Regulas (EK) Nr. 396/2005 II pielikumā, saskaņā ar minētās regulas 17. pantu, kurā noteikts, ka Komisijai ir jāsvītro minētās regulas II un III pielikumā noteiktie MAL līdz sākotnējai vērtībai 0,01 mg/kg vai attiecīgajai noteikšanas robežai, </w:t>
      </w:r>
      <w:proofErr w:type="spellStart"/>
      <w:r w:rsidRPr="009D2BB2">
        <w:t>nelūdzott</w:t>
      </w:r>
      <w:proofErr w:type="spellEnd"/>
      <w:r w:rsidRPr="009D2BB2">
        <w:t xml:space="preserve"> </w:t>
      </w:r>
      <w:r w:rsidRPr="009D2BB2">
        <w:rPr>
          <w:i/>
          <w:iCs/>
        </w:rPr>
        <w:t>EFSA</w:t>
      </w:r>
      <w:r w:rsidRPr="009D2BB2">
        <w:t xml:space="preserve"> atzinumu par aktīvo vielu, ja tās atļauja ir atsaukta;</w:t>
      </w:r>
    </w:p>
    <w:p w:rsidR="00972B38" w:rsidRPr="009D2BB2" w:rsidRDefault="00972B38" w:rsidP="00972B38">
      <w:pPr>
        <w:pStyle w:val="NormalHanging12a"/>
      </w:pPr>
      <w:r w:rsidRPr="009D2BB2">
        <w:t>J.</w:t>
      </w:r>
      <w:r w:rsidRPr="009D2BB2">
        <w:tab/>
        <w:t xml:space="preserve">tā kā Komisijas regulas projektā Komisija tomēr ierosina saglabāt MAL lielam produktu daudzumam (graudaugiem, sēklām, gaļai, aknām un nierēm) virs attiecīgās noteikšanas </w:t>
      </w:r>
      <w:r w:rsidRPr="009D2BB2">
        <w:lastRenderedPageBreak/>
        <w:t xml:space="preserve">robežas vai sākotnējās MAL vērtības 0,01 mg/kg, pamatojoties uz MAL, ko noteikusi </w:t>
      </w:r>
      <w:proofErr w:type="spellStart"/>
      <w:r w:rsidRPr="009D2BB2">
        <w:rPr>
          <w:i/>
          <w:iCs/>
        </w:rPr>
        <w:t>Codex</w:t>
      </w:r>
      <w:proofErr w:type="spellEnd"/>
      <w:r w:rsidRPr="009D2BB2">
        <w:rPr>
          <w:i/>
          <w:iCs/>
        </w:rPr>
        <w:t xml:space="preserve"> </w:t>
      </w:r>
      <w:proofErr w:type="spellStart"/>
      <w:r w:rsidRPr="009D2BB2">
        <w:rPr>
          <w:i/>
          <w:iCs/>
        </w:rPr>
        <w:t>Alimentarius</w:t>
      </w:r>
      <w:proofErr w:type="spellEnd"/>
      <w:r w:rsidRPr="009D2BB2">
        <w:t xml:space="preserve"> Komisija (</w:t>
      </w:r>
      <w:r w:rsidRPr="009D2BB2">
        <w:rPr>
          <w:i/>
          <w:iCs/>
        </w:rPr>
        <w:t>CXL</w:t>
      </w:r>
      <w:r w:rsidRPr="009D2BB2">
        <w:t>);</w:t>
      </w:r>
    </w:p>
    <w:p w:rsidR="00972B38" w:rsidRPr="009D2BB2" w:rsidRDefault="00972B38" w:rsidP="00972B38">
      <w:pPr>
        <w:pStyle w:val="NormalHanging12a"/>
      </w:pPr>
      <w:r w:rsidRPr="009D2BB2">
        <w:t>K.</w:t>
      </w:r>
      <w:r w:rsidRPr="009D2BB2">
        <w:tab/>
      </w:r>
      <w:r w:rsidRPr="009D2BB2">
        <w:rPr>
          <w:color w:val="000000" w:themeColor="text1"/>
        </w:rPr>
        <w:t xml:space="preserve">tā kā Komisija ierosina noteikt MAL </w:t>
      </w:r>
      <w:r w:rsidRPr="009D2BB2">
        <w:rPr>
          <w:i/>
          <w:iCs/>
          <w:color w:val="000000" w:themeColor="text1"/>
        </w:rPr>
        <w:t>CXL</w:t>
      </w:r>
      <w:r w:rsidRPr="009D2BB2">
        <w:rPr>
          <w:color w:val="000000" w:themeColor="text1"/>
        </w:rPr>
        <w:t xml:space="preserve"> līmeņos zirņiem (bez pākstīm), pupām, zirņiem, miežiem, griķiem un citiem </w:t>
      </w:r>
      <w:proofErr w:type="spellStart"/>
      <w:r w:rsidRPr="009D2BB2">
        <w:rPr>
          <w:color w:val="000000" w:themeColor="text1"/>
        </w:rPr>
        <w:t>pseidograudaugiem</w:t>
      </w:r>
      <w:proofErr w:type="spellEnd"/>
      <w:r w:rsidRPr="009D2BB2">
        <w:rPr>
          <w:color w:val="000000" w:themeColor="text1"/>
        </w:rPr>
        <w:t xml:space="preserve">, kukurūzai, prosai, auzām, rudziem, kviešiem, kafijas pupām un cukurbiešu saknēm, cūku, liellopu, aitu, kazu un zirgu muskuļiem un taukiem, mājputnu muskuļiem, taukiem un aknām, liellopu, aitu, kazu un zirgu pienam un putnu olām; tā kā tas nozīmē, ka attiecībā uz cūku, liellopu, aitu, kazu un zirgu aknām un nierēm MAL tiktu saglabāts esošajā līmenī 0,5 mg/kg, attiecībā uz rapšu sēklām — 0,4 mg/kg un attiecībā uz sojas pupām — 0,07 mg/kg; tā kā visiem pārējiem produktiem, kuriem nav </w:t>
      </w:r>
      <w:r w:rsidRPr="009D2BB2">
        <w:rPr>
          <w:i/>
          <w:iCs/>
          <w:color w:val="000000" w:themeColor="text1"/>
        </w:rPr>
        <w:t>CXL</w:t>
      </w:r>
      <w:r w:rsidRPr="009D2BB2">
        <w:rPr>
          <w:color w:val="000000" w:themeColor="text1"/>
        </w:rPr>
        <w:t xml:space="preserve"> vai importa pielaižu, MAL ir samazināti līdz produktam specifiskām noteikšanas robežām, kas svārstās no 0,01 līdz 0,05 mg/kg;</w:t>
      </w:r>
    </w:p>
    <w:p w:rsidR="00972B38" w:rsidRPr="009D2BB2" w:rsidRDefault="00972B38" w:rsidP="00972B38">
      <w:pPr>
        <w:pStyle w:val="NormalHanging12a"/>
      </w:pPr>
      <w:r w:rsidRPr="009D2BB2">
        <w:t>L.</w:t>
      </w:r>
      <w:r w:rsidRPr="009D2BB2">
        <w:tab/>
        <w:t xml:space="preserve">tā kā 2024. gadā Komisija samazināja </w:t>
      </w:r>
      <w:proofErr w:type="spellStart"/>
      <w:r w:rsidRPr="009D2BB2">
        <w:t>tiakloprīda</w:t>
      </w:r>
      <w:proofErr w:type="spellEnd"/>
      <w:r w:rsidRPr="009D2BB2">
        <w:t>, aktīvās vielas, kas klasificēta kā reproduktīvajai sistēmai toksiska 1B kategorijas viela, MAL līdz attiecīgajai noteikšanas robežai, apgalvojot, ka "pēc Iestādes veiktā papildu riska novērtējuma [par ietekmi uz endokrīno sistēmu] un ņemot vērā pieejamo attiecīgo informāciju par potenciāli kaitīgu ietekmi uz cilvēku veselību, ir lietderīgi provizoriski samazināt MAL [šiem produktiem]"</w:t>
      </w:r>
      <w:r w:rsidRPr="009D2BB2">
        <w:rPr>
          <w:rStyle w:val="FootnoteReference"/>
        </w:rPr>
        <w:footnoteReference w:id="15"/>
      </w:r>
      <w:r w:rsidRPr="009D2BB2">
        <w:t>;</w:t>
      </w:r>
    </w:p>
    <w:p w:rsidR="00972B38" w:rsidRPr="009D2BB2" w:rsidRDefault="00972B38" w:rsidP="00972B38">
      <w:pPr>
        <w:pStyle w:val="NormalHanging12a"/>
      </w:pPr>
      <w:r w:rsidRPr="009D2BB2">
        <w:t>M.</w:t>
      </w:r>
      <w:r w:rsidRPr="009D2BB2">
        <w:tab/>
        <w:t xml:space="preserve">tā kā Regulas (EK) Nr. 396/2005 5. apsvērumā ir paredzēts, ka atlieku līmenis nedrīkst būt tāds, kas rada nepieņemamu risku cilvēkiem un attiecīgā gadījumā dzīvniekiem; </w:t>
      </w:r>
    </w:p>
    <w:p w:rsidR="00972B38" w:rsidRPr="009D2BB2" w:rsidRDefault="00972B38" w:rsidP="00972B38">
      <w:pPr>
        <w:pStyle w:val="NormalHanging12a"/>
      </w:pPr>
      <w:r w:rsidRPr="009D2BB2">
        <w:t>N.</w:t>
      </w:r>
      <w:r w:rsidRPr="009D2BB2">
        <w:tab/>
        <w:t>tā kā Regulas (EK) Nr. 1107/2009 4. panta 2. punkta pirmās daļas a) apakšpunktā ir paredzēts, ka augu aizsardzības līdzekļu atliekām nav kaitīgas ietekmes uz cilvēku, tostarp neaizsargātu grupu, veselību vai dzīvnieku veselību, ņemot vērā zināmo kumulatīvo un sinerģisko ietekmi; tā kā minētās regulas II pielikuma 3.6.4. punktā ir paredzēts, ka darbīgo vielu, kas saskaņā ar Regulu (EK) Nr. 1272/2008 ir klasificēta kā 1.A vai 1.B kategorijas reproduktīvajai sistēmai toksiska viela, neapstiprina, ja vien "attiecīgās darbīgās vielas (...) atliekas pārtikā un barībā nepārsniedz sākotnējo vērtību, kas noteikta saskaņā ar Regulas (EK) Nr. 396/2005 18. panta 1. punkta b) apakšpunktu"; tā kā Regulas (EK) Nr. 396/2005 18. panta 1. punkta b) apakšpunktā ir noteikta sākotnējā vērtība 0,01 mg/kg;</w:t>
      </w:r>
    </w:p>
    <w:p w:rsidR="00972B38" w:rsidRPr="009D2BB2" w:rsidRDefault="00972B38" w:rsidP="00972B38">
      <w:pPr>
        <w:pStyle w:val="NormalHanging12a"/>
      </w:pPr>
      <w:r w:rsidRPr="009D2BB2">
        <w:t>O.</w:t>
      </w:r>
      <w:r w:rsidRPr="009D2BB2">
        <w:tab/>
        <w:t xml:space="preserve">tā kā Regulas (EK) Nr. 396/2005 3. panta 2. punkta g) apakšpunktā paredzēts, ka importa pielaide ir MAL, kas noteikts importētiem produktiem, ja "aktīvās vielas izmantošana augu aizsardzības līdzeklī, kas paredzēts attiecīgajam produktam, attiecībā uz noteiktu produktu un noteiktu izmantošanu nav atļauta Kopienā tādu iemeslu dēļ, kas nav sabiedrības veselības iemesli"; tā kā </w:t>
      </w:r>
      <w:proofErr w:type="spellStart"/>
      <w:r w:rsidRPr="009D2BB2">
        <w:t>ciprokonazols</w:t>
      </w:r>
      <w:proofErr w:type="spellEnd"/>
      <w:r w:rsidRPr="009D2BB2">
        <w:t xml:space="preserve"> neatbilst šiem kritērijiem, — tas ir aizliegts veselības apsvērumu dēļ, jo ir klasificēts kā reproduktīvajai sistēmai toksiska 1.B kategorijas viela;</w:t>
      </w:r>
    </w:p>
    <w:p w:rsidR="00972B38" w:rsidRPr="009D2BB2" w:rsidRDefault="00972B38" w:rsidP="00972B38">
      <w:pPr>
        <w:pStyle w:val="NormalHanging12a"/>
      </w:pPr>
      <w:r w:rsidRPr="009D2BB2">
        <w:t>P.</w:t>
      </w:r>
      <w:r w:rsidRPr="009D2BB2">
        <w:tab/>
        <w:t xml:space="preserve">tā kā Regulas (EK) Nr. 178/2002 5. panta 1. punktā paredzēts, ka ar pārtikas aprites tiesību aktiem jātiecas sasniegt vienu vai vairākus vispārīgos mērķus, proti, augstu cilvēku dzīvības un veselības, kā arī patērētāju interešu aizsardzības līmeni, tostarp godīgu pārtikas tirdzniecības praksi, attiecīgā gadījumā ņemot vērā dzīvnieku veselības </w:t>
      </w:r>
      <w:r w:rsidRPr="009D2BB2">
        <w:lastRenderedPageBreak/>
        <w:t>un labturības, augu veselības un vides aizsardzību;</w:t>
      </w:r>
    </w:p>
    <w:p w:rsidR="00972B38" w:rsidRPr="009D2BB2" w:rsidRDefault="00FC2813" w:rsidP="00972B38">
      <w:pPr>
        <w:pStyle w:val="NormalHanging12a"/>
      </w:pPr>
      <w:r>
        <w:t>Q</w:t>
      </w:r>
      <w:r w:rsidR="00972B38" w:rsidRPr="009D2BB2">
        <w:t>.</w:t>
      </w:r>
      <w:r w:rsidR="00972B38" w:rsidRPr="009D2BB2">
        <w:tab/>
        <w:t>tā kā Komisija 2020. gada 20. maija paziņojumā "Stratēģija "No lauka līdz galdam". Taisnīgas, veselīgas un videi draudzīgas pārtikas sistēmas vārdā"</w:t>
      </w:r>
      <w:r w:rsidR="00972B38" w:rsidRPr="009D2BB2">
        <w:rPr>
          <w:rStyle w:val="FootnoteReference"/>
        </w:rPr>
        <w:footnoteReference w:id="16"/>
      </w:r>
      <w:r w:rsidR="00972B38" w:rsidRPr="009D2BB2">
        <w:t xml:space="preserve"> paziņoja, ka "ES atbalstīs globālo pāreju uz ilgtspējīgām </w:t>
      </w:r>
      <w:proofErr w:type="spellStart"/>
      <w:r w:rsidR="00972B38" w:rsidRPr="009D2BB2">
        <w:t>agropārtikas</w:t>
      </w:r>
      <w:proofErr w:type="spellEnd"/>
      <w:r w:rsidR="00972B38" w:rsidRPr="009D2BB2">
        <w:t xml:space="preserve"> sistēmām saskaņā ar šīs stratēģijas mērķiem un IAM" un ka "ES ar šīs stratēģijas starpniecību var būtiski piedalīties globālo standartu noteikšanā"; tā kā Komisija stratēģijā skaidri norādīja, ka "ilgtspējīgai ES pārtikas sistēmai arī nepieciešams, lai arvien ilgtspējīgāku praksi piekoptu mūsu tirdzniecības partneri. Lai sekmētu pakāpenisku pāreju uz drošāku augu aizsardzības līdzekļu lietošanu, ES, ievērojot PVO noteikumus un vispirms izdarot riska novērtēšanu, apsvērs iespēju pārskatīt importa tolerances attiecībā uz vielām, kas atbilst "izslēgšanas kritērijiem" un rada augsta līmeņa risku cilvēka veselībai";</w:t>
      </w:r>
    </w:p>
    <w:p w:rsidR="00972B38" w:rsidRPr="009D2BB2" w:rsidRDefault="00972B38" w:rsidP="00972B38">
      <w:pPr>
        <w:pStyle w:val="NormalHanging12a"/>
      </w:pPr>
      <w:r w:rsidRPr="009D2BB2">
        <w:t>R.</w:t>
      </w:r>
      <w:r w:rsidRPr="009D2BB2">
        <w:tab/>
        <w:t xml:space="preserve">tā kā prakse noteikt augstus MAL veicina dubultstandartus starp Savienības lauksaimniekiem un lauksaimniekiem trešās valstīs, jo lauksaimnieki ārpus Savienības var turpināt ražot attiecīgos pārtikas produktus, izmantojot </w:t>
      </w:r>
      <w:proofErr w:type="spellStart"/>
      <w:r w:rsidRPr="009D2BB2">
        <w:t>ciprokonazolu</w:t>
      </w:r>
      <w:proofErr w:type="spellEnd"/>
      <w:r w:rsidRPr="009D2BB2">
        <w:t>, un eksportēt tos uz Savienību, tādējādi radot Savienības lauksaimniekiem neizdevīgus konkurences apstākļus; tā kā, no otras puses, šā pesticīda lietošana apdraud lauksaimniecībā nodarbināto veselību, iedzīvotāju veselību un vidi ražotājvalstīs;</w:t>
      </w:r>
    </w:p>
    <w:p w:rsidR="00972B38" w:rsidRPr="009D2BB2" w:rsidRDefault="00972B38" w:rsidP="00972B38">
      <w:pPr>
        <w:pStyle w:val="NormalHanging12a"/>
      </w:pPr>
      <w:r w:rsidRPr="009D2BB2">
        <w:t>S.</w:t>
      </w:r>
      <w:r w:rsidRPr="009D2BB2">
        <w:tab/>
        <w:t>tā kā LESD 191. panta 2. punktā ir noteikts, ka piesardzības princips ir viens no Savienības pamatprincipiem;</w:t>
      </w:r>
    </w:p>
    <w:p w:rsidR="00972B38" w:rsidRPr="009D2BB2" w:rsidRDefault="00972B38" w:rsidP="00972B38">
      <w:pPr>
        <w:pStyle w:val="NormalHanging12a"/>
      </w:pPr>
      <w:r w:rsidRPr="009D2BB2">
        <w:t>T.</w:t>
      </w:r>
      <w:r w:rsidRPr="009D2BB2">
        <w:tab/>
        <w:t>tā kā Komisijai ir jāaizsargā vide un Eiropas iedzīvotāji, pamatojoties uz pieejamo zinātnisko informāciju, izmantojot pienākumus un juridiskās iespējas, kas paredzētas Regulā (EK) Nr. 396/2005 un Regulā (EK) Nr. 178/2002, lai nodrošinātu augstu cilvēku un dzīvnieku veselības un vides aizsardzības līmeni;</w:t>
      </w:r>
    </w:p>
    <w:p w:rsidR="00972B38" w:rsidRPr="009D2BB2" w:rsidRDefault="00972B38" w:rsidP="00972B38">
      <w:pPr>
        <w:pStyle w:val="NormalHanging12a"/>
      </w:pPr>
      <w:r w:rsidRPr="009D2BB2">
        <w:t>U.</w:t>
      </w:r>
      <w:r w:rsidRPr="009D2BB2">
        <w:tab/>
        <w:t>tā kā ierosinātie MAL neaizsargā Eiropas iedzīvotāju veselību un tāpēc ir pretrunā Regulai (EK) Nr. 396/2005 un Regulai (EK) Nr. 178/2002;</w:t>
      </w:r>
    </w:p>
    <w:p w:rsidR="00972B38" w:rsidRPr="009D2BB2" w:rsidRDefault="00972B38" w:rsidP="00972B38">
      <w:pPr>
        <w:pStyle w:val="NormalHanging12a"/>
      </w:pPr>
      <w:r w:rsidRPr="009D2BB2">
        <w:t>V.</w:t>
      </w:r>
      <w:r w:rsidRPr="009D2BB2">
        <w:tab/>
        <w:t xml:space="preserve">tā kā MAL nevajadzētu noteikt darbīgajām vielām, kas Savienībā nav apstiprinātas veselības apsvērumu dēļ; tā kā tādēļ </w:t>
      </w:r>
      <w:r w:rsidRPr="009D2BB2">
        <w:rPr>
          <w:i/>
          <w:iCs/>
        </w:rPr>
        <w:t>CXL</w:t>
      </w:r>
      <w:r w:rsidRPr="009D2BB2">
        <w:t xml:space="preserve"> vērtības, kas pārsniedz attiecīgo noteikšanas robežu vai noklusējuma vērtību 0,01 mg/kg, nebūtu jāuzskata par drošām patērētājiem, jo </w:t>
      </w:r>
      <w:proofErr w:type="spellStart"/>
      <w:r w:rsidRPr="009D2BB2">
        <w:t>ciprokonazols</w:t>
      </w:r>
      <w:proofErr w:type="spellEnd"/>
      <w:r w:rsidRPr="009D2BB2">
        <w:t xml:space="preserve"> ir klasificēts kā reproduktīvajai sistēmai toksiska 1.B kategorijas viela;</w:t>
      </w:r>
    </w:p>
    <w:p w:rsidR="00972B38" w:rsidRPr="009D2BB2" w:rsidRDefault="00FC2813" w:rsidP="00972B38">
      <w:pPr>
        <w:pStyle w:val="NormalHanging12a"/>
      </w:pPr>
      <w:r>
        <w:t>W</w:t>
      </w:r>
      <w:bookmarkStart w:id="7" w:name="_GoBack"/>
      <w:bookmarkEnd w:id="7"/>
      <w:r w:rsidR="00972B38" w:rsidRPr="009D2BB2">
        <w:t>.</w:t>
      </w:r>
      <w:r w:rsidR="00972B38" w:rsidRPr="009D2BB2">
        <w:tab/>
        <w:t xml:space="preserve"> tā kā maksimālie atlieku līmeņi (MAL) ir jānosaka, ņemot vērā kumulatīvo un </w:t>
      </w:r>
      <w:proofErr w:type="spellStart"/>
      <w:r w:rsidR="00972B38" w:rsidRPr="009D2BB2">
        <w:t>sinerģētisko</w:t>
      </w:r>
      <w:proofErr w:type="spellEnd"/>
      <w:r w:rsidR="00972B38" w:rsidRPr="009D2BB2">
        <w:t xml:space="preserve"> iedarbību, un ir ārkārtīgi svarīgi steidzami paātrināt šādai novērtēšanai piemērotu metožu izstrādi,</w:t>
      </w:r>
    </w:p>
    <w:p w:rsidR="00972B38" w:rsidRPr="009D2BB2" w:rsidRDefault="00972B38" w:rsidP="00972B38">
      <w:pPr>
        <w:pStyle w:val="NormalHanging12a"/>
      </w:pPr>
      <w:r w:rsidRPr="009D2BB2">
        <w:t>1.</w:t>
      </w:r>
      <w:r w:rsidRPr="009D2BB2">
        <w:tab/>
        <w:t>iebilst pret Komisijas regulas projekta pieņemšanu;</w:t>
      </w:r>
    </w:p>
    <w:p w:rsidR="00972B38" w:rsidRPr="009D2BB2" w:rsidRDefault="00972B38" w:rsidP="00972B38">
      <w:pPr>
        <w:pStyle w:val="NormalHanging12a"/>
        <w:rPr>
          <w:szCs w:val="24"/>
        </w:rPr>
      </w:pPr>
      <w:r w:rsidRPr="009D2BB2">
        <w:t>2.</w:t>
      </w:r>
      <w:r w:rsidRPr="009D2BB2">
        <w:tab/>
        <w:t>uzskata, ka Komisijas regulas priekšlikums nav saderīgs ar Regulas (EK) Nr. 396/2005 un Regulas (EK) Nr. 178/2002 mērķi un saturu, kā arī ar Regulu (EK) Nr. 1107/2009, tostarp tās II pielikuma 3.6.4. punktu;</w:t>
      </w:r>
    </w:p>
    <w:p w:rsidR="00972B38" w:rsidRPr="009D2BB2" w:rsidRDefault="00972B38" w:rsidP="00972B38">
      <w:pPr>
        <w:pStyle w:val="NormalHanging12a"/>
      </w:pPr>
      <w:r w:rsidRPr="009D2BB2">
        <w:t>3.</w:t>
      </w:r>
      <w:r w:rsidRPr="009D2BB2">
        <w:tab/>
        <w:t>aicina Komisiju piemērot piesardzības principu, atsaukt regulas projektu un iesniegt komitejai jaunu projektu;</w:t>
      </w:r>
    </w:p>
    <w:p w:rsidR="00972B38" w:rsidRPr="009D2BB2" w:rsidRDefault="00972B38" w:rsidP="00972B38">
      <w:pPr>
        <w:pStyle w:val="NormalHanging12a"/>
      </w:pPr>
      <w:r w:rsidRPr="009D2BB2">
        <w:t>4.</w:t>
      </w:r>
      <w:r w:rsidRPr="009D2BB2">
        <w:tab/>
        <w:t xml:space="preserve">aicina Komisiju iesniegt komitejai jaunu regulas projektu, ar ko samazina visus </w:t>
      </w:r>
      <w:proofErr w:type="spellStart"/>
      <w:r w:rsidRPr="009D2BB2">
        <w:lastRenderedPageBreak/>
        <w:t>ciprokonazola</w:t>
      </w:r>
      <w:proofErr w:type="spellEnd"/>
      <w:r w:rsidRPr="009D2BB2">
        <w:t xml:space="preserve"> MAL līdz noteikšanas robežai vai sākotnējai vērtībai 0,01 mg/kg visiem izmantošanas veidiem, un noraidīt visus importa pielaižu pieprasījumus;</w:t>
      </w:r>
    </w:p>
    <w:p w:rsidR="00972B38" w:rsidRPr="009D2BB2" w:rsidRDefault="00972B38" w:rsidP="00972B38">
      <w:pPr>
        <w:pStyle w:val="NormalHanging12a"/>
      </w:pPr>
      <w:r w:rsidRPr="009D2BB2">
        <w:t>5.</w:t>
      </w:r>
      <w:r w:rsidRPr="009D2BB2">
        <w:tab/>
        <w:t xml:space="preserve">zina, ka </w:t>
      </w:r>
      <w:r w:rsidRPr="009D2BB2">
        <w:rPr>
          <w:i/>
          <w:iCs/>
        </w:rPr>
        <w:t xml:space="preserve">EFSA </w:t>
      </w:r>
      <w:r w:rsidRPr="009D2BB2">
        <w:t xml:space="preserve">strādā pie kumulatīvā riska novērtēšanas metodēm, bet norāda arī uz to, ka pesticīdu un atlieku kumulatīvās iedarbības novērtēšana ir jau gadu desmitiem zināma problēma; tāpēc prasa, lai </w:t>
      </w:r>
      <w:r w:rsidRPr="009D2BB2">
        <w:rPr>
          <w:i/>
          <w:iCs/>
        </w:rPr>
        <w:t>EFSA</w:t>
      </w:r>
      <w:r w:rsidRPr="009D2BB2">
        <w:t xml:space="preserve"> un Komisija šo problēmu risinātu kā absolūti steidzamu;</w:t>
      </w:r>
    </w:p>
    <w:p w:rsidR="00972B38" w:rsidRPr="009D2BB2" w:rsidRDefault="00972B38" w:rsidP="00972B38">
      <w:pPr>
        <w:pStyle w:val="NormalHanging12a"/>
      </w:pPr>
      <w:r w:rsidRPr="009D2BB2">
        <w:t>6.</w:t>
      </w:r>
      <w:r w:rsidRPr="009D2BB2">
        <w:tab/>
        <w:t xml:space="preserve">uzdod priekšsēdētājai šo rezolūciju nosūtīt Padomei un Komisijai, kā arī dalībvalstu valdībām un parlamentiem. </w:t>
      </w:r>
    </w:p>
    <w:p w:rsidR="00E365E1" w:rsidRPr="009D2BB2" w:rsidRDefault="00E365E1" w:rsidP="00714FC4"/>
    <w:sectPr w:rsidR="00E365E1" w:rsidRPr="009D2BB2" w:rsidSect="00982FE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4FC4" w:rsidRPr="00982FEC" w:rsidRDefault="00714FC4">
      <w:r w:rsidRPr="00982FEC">
        <w:separator/>
      </w:r>
    </w:p>
  </w:endnote>
  <w:endnote w:type="continuationSeparator" w:id="0">
    <w:p w:rsidR="00714FC4" w:rsidRPr="00982FEC" w:rsidRDefault="00714FC4">
      <w:r w:rsidRPr="00982FE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82FE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82FE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82FE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4FC4" w:rsidRPr="00982FEC" w:rsidRDefault="00714FC4">
      <w:r w:rsidRPr="00982FEC">
        <w:separator/>
      </w:r>
    </w:p>
  </w:footnote>
  <w:footnote w:type="continuationSeparator" w:id="0">
    <w:p w:rsidR="00714FC4" w:rsidRPr="00982FEC" w:rsidRDefault="00714FC4">
      <w:r w:rsidRPr="00982FEC">
        <w:continuationSeparator/>
      </w:r>
    </w:p>
  </w:footnote>
  <w:footnote w:id="1">
    <w:p w:rsidR="00972B38" w:rsidRPr="00982FEC" w:rsidRDefault="00972B38" w:rsidP="00982FEC">
      <w:pPr>
        <w:pStyle w:val="FootnoteText"/>
        <w:ind w:left="567" w:hanging="567"/>
        <w:rPr>
          <w:sz w:val="24"/>
          <w:lang w:val="lv-LV"/>
        </w:rPr>
      </w:pPr>
      <w:r w:rsidRPr="00982FEC">
        <w:rPr>
          <w:rStyle w:val="FootnoteReference"/>
          <w:sz w:val="24"/>
          <w:lang w:val="lv-LV"/>
        </w:rPr>
        <w:footnoteRef/>
      </w:r>
      <w:r w:rsidR="00982FEC" w:rsidRPr="00982FEC">
        <w:rPr>
          <w:sz w:val="24"/>
          <w:lang w:val="lv-LV"/>
        </w:rPr>
        <w:t xml:space="preserve"> </w:t>
      </w:r>
      <w:r w:rsidR="00982FEC" w:rsidRPr="00982FEC">
        <w:rPr>
          <w:sz w:val="24"/>
          <w:lang w:val="lv-LV"/>
        </w:rPr>
        <w:tab/>
      </w:r>
      <w:r w:rsidRPr="00982FEC">
        <w:rPr>
          <w:sz w:val="24"/>
          <w:lang w:val="lv-LV"/>
        </w:rPr>
        <w:t>OV L 70, 16.3.2005., 1. lpp.</w:t>
      </w:r>
    </w:p>
  </w:footnote>
  <w:footnote w:id="2">
    <w:p w:rsidR="00972B38" w:rsidRPr="00982FEC" w:rsidRDefault="00972B38" w:rsidP="00982FEC">
      <w:pPr>
        <w:pStyle w:val="FootnoteText"/>
        <w:ind w:left="567" w:hanging="567"/>
        <w:rPr>
          <w:sz w:val="24"/>
          <w:lang w:val="lv-LV"/>
        </w:rPr>
      </w:pPr>
      <w:r w:rsidRPr="00982FEC">
        <w:rPr>
          <w:rStyle w:val="FootnoteReference"/>
          <w:sz w:val="24"/>
          <w:lang w:val="lv-LV"/>
        </w:rPr>
        <w:footnoteRef/>
      </w:r>
      <w:r w:rsidR="00982FEC" w:rsidRPr="00982FEC">
        <w:rPr>
          <w:sz w:val="24"/>
          <w:lang w:val="lv-LV"/>
        </w:rPr>
        <w:t xml:space="preserve"> </w:t>
      </w:r>
      <w:r w:rsidR="00982FEC" w:rsidRPr="00982FEC">
        <w:rPr>
          <w:sz w:val="24"/>
          <w:lang w:val="lv-LV"/>
        </w:rPr>
        <w:tab/>
      </w:r>
      <w:r w:rsidRPr="00982FEC">
        <w:rPr>
          <w:sz w:val="24"/>
          <w:lang w:val="lv-LV"/>
        </w:rPr>
        <w:t>OV L 309, 24.11.2009., 1. lpp.</w:t>
      </w:r>
    </w:p>
  </w:footnote>
  <w:footnote w:id="3">
    <w:p w:rsidR="00972B38" w:rsidRPr="00982FEC" w:rsidRDefault="00972B38" w:rsidP="00982FEC">
      <w:pPr>
        <w:pStyle w:val="FootnoteText"/>
        <w:ind w:left="567" w:hanging="567"/>
        <w:rPr>
          <w:sz w:val="24"/>
          <w:lang w:val="lv-LV"/>
        </w:rPr>
      </w:pPr>
      <w:r w:rsidRPr="00982FEC">
        <w:rPr>
          <w:rStyle w:val="FootnoteReference"/>
          <w:sz w:val="24"/>
          <w:lang w:val="lv-LV"/>
        </w:rPr>
        <w:footnoteRef/>
      </w:r>
      <w:r w:rsidR="00982FEC" w:rsidRPr="00982FEC">
        <w:rPr>
          <w:sz w:val="24"/>
          <w:lang w:val="lv-LV"/>
        </w:rPr>
        <w:t xml:space="preserve"> </w:t>
      </w:r>
      <w:r w:rsidR="00982FEC" w:rsidRPr="00982FEC">
        <w:rPr>
          <w:sz w:val="24"/>
          <w:lang w:val="lv-LV"/>
        </w:rPr>
        <w:tab/>
      </w:r>
      <w:r w:rsidRPr="00982FEC">
        <w:rPr>
          <w:sz w:val="24"/>
          <w:lang w:val="lv-LV"/>
        </w:rPr>
        <w:t>OV L 31, 1.2.2002., 1. lpp.</w:t>
      </w:r>
    </w:p>
  </w:footnote>
  <w:footnote w:id="4">
    <w:p w:rsidR="00972B38" w:rsidRPr="00982FEC" w:rsidRDefault="00972B38" w:rsidP="00982FEC">
      <w:pPr>
        <w:pStyle w:val="FootnoteText"/>
        <w:ind w:left="567" w:hanging="567"/>
        <w:rPr>
          <w:sz w:val="24"/>
          <w:lang w:val="lv-LV"/>
        </w:rPr>
      </w:pPr>
      <w:r w:rsidRPr="00982FEC">
        <w:rPr>
          <w:rStyle w:val="FootnoteReference"/>
          <w:sz w:val="24"/>
          <w:lang w:val="lv-LV"/>
        </w:rPr>
        <w:footnoteRef/>
      </w:r>
      <w:r w:rsidR="00982FEC" w:rsidRPr="00982FEC">
        <w:rPr>
          <w:i/>
          <w:iCs/>
          <w:sz w:val="24"/>
          <w:lang w:val="lv-LV"/>
        </w:rPr>
        <w:t xml:space="preserve"> </w:t>
      </w:r>
      <w:r w:rsidR="00982FEC" w:rsidRPr="00982FEC">
        <w:rPr>
          <w:i/>
          <w:iCs/>
          <w:sz w:val="24"/>
          <w:lang w:val="lv-LV"/>
        </w:rPr>
        <w:tab/>
      </w:r>
      <w:r w:rsidR="00FC2813" w:rsidRPr="00FC2813">
        <w:rPr>
          <w:i/>
          <w:iCs/>
          <w:sz w:val="24"/>
          <w:lang w:val="lv-LV"/>
        </w:rPr>
        <w:t xml:space="preserve">EFSA </w:t>
      </w:r>
      <w:r w:rsidR="00FC2813">
        <w:rPr>
          <w:i/>
          <w:iCs/>
          <w:sz w:val="24"/>
          <w:lang w:val="lv-LV"/>
        </w:rPr>
        <w:t>pamatots</w:t>
      </w:r>
      <w:r w:rsidR="00FC2813" w:rsidRPr="00FC2813">
        <w:rPr>
          <w:i/>
          <w:iCs/>
          <w:sz w:val="24"/>
          <w:lang w:val="lv-LV"/>
        </w:rPr>
        <w:t xml:space="preserve"> atzinums par pašreizējo maksimāli pieļaujamo </w:t>
      </w:r>
      <w:proofErr w:type="spellStart"/>
      <w:r w:rsidR="00FC2813" w:rsidRPr="00FC2813">
        <w:rPr>
          <w:i/>
          <w:iCs/>
          <w:sz w:val="24"/>
          <w:lang w:val="lv-LV"/>
        </w:rPr>
        <w:t>ciprokonazola</w:t>
      </w:r>
      <w:proofErr w:type="spellEnd"/>
      <w:r w:rsidR="00FC2813" w:rsidRPr="00FC2813">
        <w:rPr>
          <w:i/>
          <w:iCs/>
          <w:sz w:val="24"/>
          <w:lang w:val="lv-LV"/>
        </w:rPr>
        <w:t xml:space="preserve"> atlieku daudzumu pārskatīš</w:t>
      </w:r>
      <w:r w:rsidR="00FC2813">
        <w:rPr>
          <w:i/>
          <w:iCs/>
          <w:sz w:val="24"/>
          <w:lang w:val="lv-LV"/>
        </w:rPr>
        <w:t>anu saskaņā ar Regulas (EK) Nr. </w:t>
      </w:r>
      <w:r w:rsidR="00FC2813" w:rsidRPr="00FC2813">
        <w:rPr>
          <w:i/>
          <w:iCs/>
          <w:sz w:val="24"/>
          <w:lang w:val="lv-LV"/>
        </w:rPr>
        <w:t>396/2005 12.</w:t>
      </w:r>
      <w:r w:rsidR="00FC2813">
        <w:rPr>
          <w:i/>
          <w:iCs/>
          <w:sz w:val="24"/>
          <w:lang w:val="lv-LV"/>
        </w:rPr>
        <w:t> </w:t>
      </w:r>
      <w:r w:rsidR="00FC2813" w:rsidRPr="00FC2813">
        <w:rPr>
          <w:i/>
          <w:iCs/>
          <w:sz w:val="24"/>
          <w:lang w:val="lv-LV"/>
        </w:rPr>
        <w:t>pantu</w:t>
      </w:r>
      <w:r w:rsidRPr="00982FEC">
        <w:rPr>
          <w:i/>
          <w:iCs/>
          <w:sz w:val="24"/>
          <w:lang w:val="lv-LV"/>
        </w:rPr>
        <w:t xml:space="preserve">, EFSA </w:t>
      </w:r>
      <w:proofErr w:type="spellStart"/>
      <w:r w:rsidRPr="00982FEC">
        <w:rPr>
          <w:i/>
          <w:iCs/>
          <w:sz w:val="24"/>
          <w:lang w:val="lv-LV"/>
        </w:rPr>
        <w:t>Journal</w:t>
      </w:r>
      <w:proofErr w:type="spellEnd"/>
      <w:r w:rsidRPr="00982FEC">
        <w:rPr>
          <w:i/>
          <w:iCs/>
          <w:sz w:val="24"/>
          <w:lang w:val="lv-LV"/>
        </w:rPr>
        <w:t xml:space="preserve"> 2021;19(3):e06483</w:t>
      </w:r>
      <w:r w:rsidRPr="00982FEC">
        <w:rPr>
          <w:sz w:val="24"/>
          <w:lang w:val="lv-LV"/>
        </w:rPr>
        <w:t xml:space="preserve">, </w:t>
      </w:r>
      <w:hyperlink r:id="rId1" w:history="1">
        <w:r w:rsidRPr="00982FEC">
          <w:rPr>
            <w:rStyle w:val="Hyperlink"/>
            <w:sz w:val="24"/>
            <w:lang w:val="lv-LV"/>
          </w:rPr>
          <w:t>https://doi.org/10.2903/j.efsa.2021.6483</w:t>
        </w:r>
      </w:hyperlink>
      <w:r w:rsidRPr="00982FEC">
        <w:rPr>
          <w:sz w:val="24"/>
          <w:lang w:val="lv-LV"/>
        </w:rPr>
        <w:t>.</w:t>
      </w:r>
    </w:p>
  </w:footnote>
  <w:footnote w:id="5">
    <w:p w:rsidR="00972B38" w:rsidRPr="00982FEC" w:rsidRDefault="00972B38" w:rsidP="00982FEC">
      <w:pPr>
        <w:pStyle w:val="FootnoteText"/>
        <w:ind w:left="567" w:hanging="567"/>
        <w:rPr>
          <w:sz w:val="24"/>
          <w:lang w:val="lv-LV"/>
        </w:rPr>
      </w:pPr>
      <w:r w:rsidRPr="00982FEC">
        <w:rPr>
          <w:rStyle w:val="FootnoteReference"/>
          <w:sz w:val="24"/>
          <w:lang w:val="lv-LV"/>
        </w:rPr>
        <w:footnoteRef/>
      </w:r>
      <w:r w:rsidR="00982FEC" w:rsidRPr="00982FEC">
        <w:rPr>
          <w:i/>
          <w:iCs/>
          <w:sz w:val="24"/>
          <w:lang w:val="lv-LV"/>
        </w:rPr>
        <w:t xml:space="preserve"> </w:t>
      </w:r>
      <w:r w:rsidR="00982FEC" w:rsidRPr="00982FEC">
        <w:rPr>
          <w:i/>
          <w:iCs/>
          <w:sz w:val="24"/>
          <w:lang w:val="lv-LV"/>
        </w:rPr>
        <w:tab/>
      </w:r>
      <w:r w:rsidRPr="00982FEC">
        <w:rPr>
          <w:i/>
          <w:iCs/>
          <w:sz w:val="24"/>
          <w:lang w:val="lv-LV"/>
        </w:rPr>
        <w:t xml:space="preserve">EFSA </w:t>
      </w:r>
      <w:proofErr w:type="spellStart"/>
      <w:r w:rsidRPr="00982FEC">
        <w:rPr>
          <w:i/>
          <w:iCs/>
          <w:sz w:val="24"/>
          <w:lang w:val="lv-LV"/>
        </w:rPr>
        <w:t>conclusion</w:t>
      </w:r>
      <w:proofErr w:type="spellEnd"/>
      <w:r w:rsidRPr="00982FEC">
        <w:rPr>
          <w:i/>
          <w:iCs/>
          <w:sz w:val="24"/>
          <w:lang w:val="lv-LV"/>
        </w:rPr>
        <w:t xml:space="preserve"> </w:t>
      </w:r>
      <w:proofErr w:type="spellStart"/>
      <w:r w:rsidRPr="00982FEC">
        <w:rPr>
          <w:i/>
          <w:iCs/>
          <w:sz w:val="24"/>
          <w:lang w:val="lv-LV"/>
        </w:rPr>
        <w:t>on</w:t>
      </w:r>
      <w:proofErr w:type="spellEnd"/>
      <w:r w:rsidRPr="00982FEC">
        <w:rPr>
          <w:i/>
          <w:iCs/>
          <w:sz w:val="24"/>
          <w:lang w:val="lv-LV"/>
        </w:rPr>
        <w:t xml:space="preserve"> </w:t>
      </w:r>
      <w:proofErr w:type="spellStart"/>
      <w:r w:rsidRPr="00982FEC">
        <w:rPr>
          <w:i/>
          <w:iCs/>
          <w:sz w:val="24"/>
          <w:lang w:val="lv-LV"/>
        </w:rPr>
        <w:t>the</w:t>
      </w:r>
      <w:proofErr w:type="spellEnd"/>
      <w:r w:rsidRPr="00982FEC">
        <w:rPr>
          <w:i/>
          <w:iCs/>
          <w:sz w:val="24"/>
          <w:lang w:val="lv-LV"/>
        </w:rPr>
        <w:t xml:space="preserve"> </w:t>
      </w:r>
      <w:proofErr w:type="spellStart"/>
      <w:r w:rsidRPr="00982FEC">
        <w:rPr>
          <w:i/>
          <w:iCs/>
          <w:sz w:val="24"/>
          <w:lang w:val="lv-LV"/>
        </w:rPr>
        <w:t>peer</w:t>
      </w:r>
      <w:proofErr w:type="spellEnd"/>
      <w:r w:rsidRPr="00982FEC">
        <w:rPr>
          <w:i/>
          <w:iCs/>
          <w:sz w:val="24"/>
          <w:lang w:val="lv-LV"/>
        </w:rPr>
        <w:t xml:space="preserve"> </w:t>
      </w:r>
      <w:proofErr w:type="spellStart"/>
      <w:r w:rsidRPr="00982FEC">
        <w:rPr>
          <w:i/>
          <w:iCs/>
          <w:sz w:val="24"/>
          <w:lang w:val="lv-LV"/>
        </w:rPr>
        <w:t>review</w:t>
      </w:r>
      <w:proofErr w:type="spellEnd"/>
      <w:r w:rsidRPr="00982FEC">
        <w:rPr>
          <w:i/>
          <w:iCs/>
          <w:sz w:val="24"/>
          <w:lang w:val="lv-LV"/>
        </w:rPr>
        <w:t xml:space="preserve"> </w:t>
      </w:r>
      <w:proofErr w:type="spellStart"/>
      <w:r w:rsidRPr="00982FEC">
        <w:rPr>
          <w:i/>
          <w:iCs/>
          <w:sz w:val="24"/>
          <w:lang w:val="lv-LV"/>
        </w:rPr>
        <w:t>of</w:t>
      </w:r>
      <w:proofErr w:type="spellEnd"/>
      <w:r w:rsidRPr="00982FEC">
        <w:rPr>
          <w:i/>
          <w:iCs/>
          <w:sz w:val="24"/>
          <w:lang w:val="lv-LV"/>
        </w:rPr>
        <w:t xml:space="preserve"> </w:t>
      </w:r>
      <w:proofErr w:type="spellStart"/>
      <w:r w:rsidRPr="00982FEC">
        <w:rPr>
          <w:i/>
          <w:iCs/>
          <w:sz w:val="24"/>
          <w:lang w:val="lv-LV"/>
        </w:rPr>
        <w:t>the</w:t>
      </w:r>
      <w:proofErr w:type="spellEnd"/>
      <w:r w:rsidRPr="00982FEC">
        <w:rPr>
          <w:i/>
          <w:iCs/>
          <w:sz w:val="24"/>
          <w:lang w:val="lv-LV"/>
        </w:rPr>
        <w:t xml:space="preserve"> </w:t>
      </w:r>
      <w:proofErr w:type="spellStart"/>
      <w:r w:rsidRPr="00982FEC">
        <w:rPr>
          <w:i/>
          <w:iCs/>
          <w:sz w:val="24"/>
          <w:lang w:val="lv-LV"/>
        </w:rPr>
        <w:t>pesticide</w:t>
      </w:r>
      <w:proofErr w:type="spellEnd"/>
      <w:r w:rsidRPr="00982FEC">
        <w:rPr>
          <w:i/>
          <w:iCs/>
          <w:sz w:val="24"/>
          <w:lang w:val="lv-LV"/>
        </w:rPr>
        <w:t xml:space="preserve"> risk </w:t>
      </w:r>
      <w:proofErr w:type="spellStart"/>
      <w:r w:rsidRPr="00982FEC">
        <w:rPr>
          <w:i/>
          <w:iCs/>
          <w:sz w:val="24"/>
          <w:lang w:val="lv-LV"/>
        </w:rPr>
        <w:t>assessment</w:t>
      </w:r>
      <w:proofErr w:type="spellEnd"/>
      <w:r w:rsidRPr="00982FEC">
        <w:rPr>
          <w:i/>
          <w:iCs/>
          <w:sz w:val="24"/>
          <w:lang w:val="lv-LV"/>
        </w:rPr>
        <w:t xml:space="preserve"> </w:t>
      </w:r>
      <w:proofErr w:type="spellStart"/>
      <w:r w:rsidRPr="00982FEC">
        <w:rPr>
          <w:i/>
          <w:iCs/>
          <w:sz w:val="24"/>
          <w:lang w:val="lv-LV"/>
        </w:rPr>
        <w:t>of</w:t>
      </w:r>
      <w:proofErr w:type="spellEnd"/>
      <w:r w:rsidRPr="00982FEC">
        <w:rPr>
          <w:i/>
          <w:iCs/>
          <w:sz w:val="24"/>
          <w:lang w:val="lv-LV"/>
        </w:rPr>
        <w:t xml:space="preserve"> </w:t>
      </w:r>
      <w:proofErr w:type="spellStart"/>
      <w:r w:rsidRPr="00982FEC">
        <w:rPr>
          <w:i/>
          <w:iCs/>
          <w:sz w:val="24"/>
          <w:lang w:val="lv-LV"/>
        </w:rPr>
        <w:t>the</w:t>
      </w:r>
      <w:proofErr w:type="spellEnd"/>
      <w:r w:rsidRPr="00982FEC">
        <w:rPr>
          <w:i/>
          <w:iCs/>
          <w:sz w:val="24"/>
          <w:lang w:val="lv-LV"/>
        </w:rPr>
        <w:t xml:space="preserve"> </w:t>
      </w:r>
      <w:proofErr w:type="spellStart"/>
      <w:r w:rsidRPr="00982FEC">
        <w:rPr>
          <w:i/>
          <w:iCs/>
          <w:sz w:val="24"/>
          <w:lang w:val="lv-LV"/>
        </w:rPr>
        <w:t>active</w:t>
      </w:r>
      <w:proofErr w:type="spellEnd"/>
      <w:r w:rsidRPr="00982FEC">
        <w:rPr>
          <w:i/>
          <w:iCs/>
          <w:sz w:val="24"/>
          <w:lang w:val="lv-LV"/>
        </w:rPr>
        <w:t xml:space="preserve"> substance </w:t>
      </w:r>
      <w:proofErr w:type="spellStart"/>
      <w:r w:rsidRPr="00982FEC">
        <w:rPr>
          <w:i/>
          <w:iCs/>
          <w:sz w:val="24"/>
          <w:lang w:val="lv-LV"/>
        </w:rPr>
        <w:t>cyproconazole</w:t>
      </w:r>
      <w:proofErr w:type="spellEnd"/>
      <w:r w:rsidRPr="00982FEC">
        <w:rPr>
          <w:i/>
          <w:iCs/>
          <w:sz w:val="24"/>
          <w:lang w:val="lv-LV"/>
        </w:rPr>
        <w:t xml:space="preserve">, EFSA </w:t>
      </w:r>
      <w:proofErr w:type="spellStart"/>
      <w:r w:rsidRPr="00982FEC">
        <w:rPr>
          <w:i/>
          <w:iCs/>
          <w:sz w:val="24"/>
          <w:lang w:val="lv-LV"/>
        </w:rPr>
        <w:t>Journal</w:t>
      </w:r>
      <w:proofErr w:type="spellEnd"/>
      <w:r w:rsidRPr="00982FEC">
        <w:rPr>
          <w:i/>
          <w:iCs/>
          <w:sz w:val="24"/>
          <w:lang w:val="lv-LV"/>
        </w:rPr>
        <w:t xml:space="preserve"> 2010;8(11):1897</w:t>
      </w:r>
      <w:r w:rsidRPr="00982FEC">
        <w:rPr>
          <w:sz w:val="24"/>
          <w:lang w:val="lv-LV"/>
        </w:rPr>
        <w:t xml:space="preserve">, </w:t>
      </w:r>
      <w:hyperlink r:id="rId2" w:history="1">
        <w:r w:rsidRPr="00982FEC">
          <w:rPr>
            <w:rStyle w:val="Hyperlink"/>
            <w:sz w:val="24"/>
            <w:lang w:val="lv-LV"/>
          </w:rPr>
          <w:t>https://doi.org/10.2903/j.efsa.2010.1897</w:t>
        </w:r>
      </w:hyperlink>
      <w:r w:rsidRPr="00982FEC">
        <w:rPr>
          <w:sz w:val="24"/>
          <w:lang w:val="lv-LV"/>
        </w:rPr>
        <w:t>.</w:t>
      </w:r>
    </w:p>
  </w:footnote>
  <w:footnote w:id="6">
    <w:p w:rsidR="00972B38" w:rsidRPr="00982FEC" w:rsidRDefault="00972B38" w:rsidP="00982FEC">
      <w:pPr>
        <w:pStyle w:val="FootnoteText"/>
        <w:ind w:left="567" w:hanging="567"/>
        <w:rPr>
          <w:sz w:val="24"/>
          <w:lang w:val="lv-LV"/>
        </w:rPr>
      </w:pPr>
      <w:r w:rsidRPr="00982FEC">
        <w:rPr>
          <w:rStyle w:val="FootnoteReference"/>
          <w:sz w:val="24"/>
          <w:lang w:val="lv-LV"/>
        </w:rPr>
        <w:footnoteRef/>
      </w:r>
      <w:r w:rsidR="00982FEC" w:rsidRPr="00982FEC">
        <w:rPr>
          <w:i/>
          <w:iCs/>
          <w:sz w:val="24"/>
          <w:lang w:val="lv-LV"/>
        </w:rPr>
        <w:t xml:space="preserve"> </w:t>
      </w:r>
      <w:r w:rsidR="00982FEC" w:rsidRPr="00982FEC">
        <w:rPr>
          <w:i/>
          <w:iCs/>
          <w:sz w:val="24"/>
          <w:lang w:val="lv-LV"/>
        </w:rPr>
        <w:tab/>
      </w:r>
      <w:r w:rsidRPr="00982FEC">
        <w:rPr>
          <w:i/>
          <w:iCs/>
          <w:sz w:val="24"/>
          <w:lang w:val="lv-LV"/>
        </w:rPr>
        <w:t xml:space="preserve">RAC </w:t>
      </w:r>
      <w:proofErr w:type="spellStart"/>
      <w:r w:rsidRPr="00982FEC">
        <w:rPr>
          <w:i/>
          <w:iCs/>
          <w:sz w:val="24"/>
          <w:lang w:val="lv-LV"/>
        </w:rPr>
        <w:t>opinion</w:t>
      </w:r>
      <w:proofErr w:type="spellEnd"/>
      <w:r w:rsidRPr="00982FEC">
        <w:rPr>
          <w:i/>
          <w:iCs/>
          <w:sz w:val="24"/>
          <w:lang w:val="lv-LV"/>
        </w:rPr>
        <w:t xml:space="preserve"> </w:t>
      </w:r>
      <w:proofErr w:type="spellStart"/>
      <w:r w:rsidRPr="00982FEC">
        <w:rPr>
          <w:i/>
          <w:iCs/>
          <w:sz w:val="24"/>
          <w:lang w:val="lv-LV"/>
        </w:rPr>
        <w:t>proposing</w:t>
      </w:r>
      <w:proofErr w:type="spellEnd"/>
      <w:r w:rsidRPr="00982FEC">
        <w:rPr>
          <w:i/>
          <w:iCs/>
          <w:sz w:val="24"/>
          <w:lang w:val="lv-LV"/>
        </w:rPr>
        <w:t xml:space="preserve"> </w:t>
      </w:r>
      <w:proofErr w:type="spellStart"/>
      <w:r w:rsidRPr="00982FEC">
        <w:rPr>
          <w:i/>
          <w:iCs/>
          <w:sz w:val="24"/>
          <w:lang w:val="lv-LV"/>
        </w:rPr>
        <w:t>harmonised</w:t>
      </w:r>
      <w:proofErr w:type="spellEnd"/>
      <w:r w:rsidRPr="00982FEC">
        <w:rPr>
          <w:i/>
          <w:iCs/>
          <w:sz w:val="24"/>
          <w:lang w:val="lv-LV"/>
        </w:rPr>
        <w:t xml:space="preserve"> </w:t>
      </w:r>
      <w:proofErr w:type="spellStart"/>
      <w:r w:rsidRPr="00982FEC">
        <w:rPr>
          <w:i/>
          <w:iCs/>
          <w:sz w:val="24"/>
          <w:lang w:val="lv-LV"/>
        </w:rPr>
        <w:t>classification</w:t>
      </w:r>
      <w:proofErr w:type="spellEnd"/>
      <w:r w:rsidRPr="00982FEC">
        <w:rPr>
          <w:i/>
          <w:iCs/>
          <w:sz w:val="24"/>
          <w:lang w:val="lv-LV"/>
        </w:rPr>
        <w:t xml:space="preserve"> </w:t>
      </w:r>
      <w:proofErr w:type="spellStart"/>
      <w:r w:rsidRPr="00982FEC">
        <w:rPr>
          <w:i/>
          <w:iCs/>
          <w:sz w:val="24"/>
          <w:lang w:val="lv-LV"/>
        </w:rPr>
        <w:t>and</w:t>
      </w:r>
      <w:proofErr w:type="spellEnd"/>
      <w:r w:rsidRPr="00982FEC">
        <w:rPr>
          <w:i/>
          <w:iCs/>
          <w:sz w:val="24"/>
          <w:lang w:val="lv-LV"/>
        </w:rPr>
        <w:t xml:space="preserve"> </w:t>
      </w:r>
      <w:proofErr w:type="spellStart"/>
      <w:r w:rsidRPr="00982FEC">
        <w:rPr>
          <w:i/>
          <w:iCs/>
          <w:sz w:val="24"/>
          <w:lang w:val="lv-LV"/>
        </w:rPr>
        <w:t>labelling</w:t>
      </w:r>
      <w:proofErr w:type="spellEnd"/>
      <w:r w:rsidRPr="00982FEC">
        <w:rPr>
          <w:i/>
          <w:iCs/>
          <w:sz w:val="24"/>
          <w:lang w:val="lv-LV"/>
        </w:rPr>
        <w:t xml:space="preserve"> </w:t>
      </w:r>
      <w:proofErr w:type="spellStart"/>
      <w:r w:rsidRPr="00982FEC">
        <w:rPr>
          <w:i/>
          <w:iCs/>
          <w:sz w:val="24"/>
          <w:lang w:val="lv-LV"/>
        </w:rPr>
        <w:t>at</w:t>
      </w:r>
      <w:proofErr w:type="spellEnd"/>
      <w:r w:rsidRPr="00982FEC">
        <w:rPr>
          <w:i/>
          <w:iCs/>
          <w:sz w:val="24"/>
          <w:lang w:val="lv-LV"/>
        </w:rPr>
        <w:t xml:space="preserve"> EU </w:t>
      </w:r>
      <w:proofErr w:type="spellStart"/>
      <w:r w:rsidRPr="00982FEC">
        <w:rPr>
          <w:i/>
          <w:iCs/>
          <w:sz w:val="24"/>
          <w:lang w:val="lv-LV"/>
        </w:rPr>
        <w:t>level</w:t>
      </w:r>
      <w:proofErr w:type="spellEnd"/>
      <w:r w:rsidRPr="00982FEC">
        <w:rPr>
          <w:i/>
          <w:iCs/>
          <w:sz w:val="24"/>
          <w:lang w:val="lv-LV"/>
        </w:rPr>
        <w:t xml:space="preserve"> </w:t>
      </w:r>
      <w:proofErr w:type="spellStart"/>
      <w:r w:rsidRPr="00982FEC">
        <w:rPr>
          <w:i/>
          <w:iCs/>
          <w:sz w:val="24"/>
          <w:lang w:val="lv-LV"/>
        </w:rPr>
        <w:t>of</w:t>
      </w:r>
      <w:proofErr w:type="spellEnd"/>
      <w:r w:rsidRPr="00982FEC">
        <w:rPr>
          <w:i/>
          <w:iCs/>
          <w:sz w:val="24"/>
          <w:lang w:val="lv-LV"/>
        </w:rPr>
        <w:t xml:space="preserve"> </w:t>
      </w:r>
      <w:proofErr w:type="spellStart"/>
      <w:r w:rsidRPr="00982FEC">
        <w:rPr>
          <w:i/>
          <w:iCs/>
          <w:sz w:val="24"/>
          <w:lang w:val="lv-LV"/>
        </w:rPr>
        <w:t>Cyproconazole</w:t>
      </w:r>
      <w:proofErr w:type="spellEnd"/>
      <w:r w:rsidRPr="00982FEC">
        <w:rPr>
          <w:i/>
          <w:iCs/>
          <w:sz w:val="24"/>
          <w:lang w:val="lv-LV"/>
        </w:rPr>
        <w:t xml:space="preserve"> (ISO);</w:t>
      </w:r>
      <w:r w:rsidRPr="00982FEC">
        <w:rPr>
          <w:sz w:val="24"/>
          <w:lang w:val="lv-LV"/>
        </w:rPr>
        <w:t xml:space="preserve"> </w:t>
      </w:r>
      <w:r w:rsidRPr="00982FEC">
        <w:rPr>
          <w:i/>
          <w:iCs/>
          <w:sz w:val="24"/>
          <w:lang w:val="lv-LV"/>
        </w:rPr>
        <w:t>(2RS,3RS;2RS,3SR)-2-(4-chlorophenyl)-3-cyclopr opyl-1-(1H-1,2,4-triazol-1-yl)butan-2-ol,</w:t>
      </w:r>
      <w:r w:rsidRPr="00982FEC">
        <w:rPr>
          <w:sz w:val="24"/>
          <w:lang w:val="lv-LV"/>
        </w:rPr>
        <w:t xml:space="preserve"> </w:t>
      </w:r>
      <w:hyperlink r:id="rId3" w:history="1">
        <w:r w:rsidRPr="00982FEC">
          <w:rPr>
            <w:rStyle w:val="Hyperlink"/>
            <w:sz w:val="24"/>
            <w:lang w:val="lv-LV"/>
          </w:rPr>
          <w:t>https://echa.europa.eu/documents/10162/6d98baeb-24aa-a683-28ec-d8adabee5461</w:t>
        </w:r>
      </w:hyperlink>
      <w:r w:rsidRPr="00982FEC">
        <w:rPr>
          <w:sz w:val="24"/>
          <w:lang w:val="lv-LV"/>
        </w:rPr>
        <w:t>.</w:t>
      </w:r>
    </w:p>
  </w:footnote>
  <w:footnote w:id="7">
    <w:p w:rsidR="00972B38" w:rsidRPr="00982FEC" w:rsidRDefault="00972B38" w:rsidP="00982FEC">
      <w:pPr>
        <w:pStyle w:val="FootnoteText"/>
        <w:ind w:left="567" w:hanging="567"/>
        <w:rPr>
          <w:sz w:val="24"/>
          <w:lang w:val="lv-LV"/>
        </w:rPr>
      </w:pPr>
      <w:r w:rsidRPr="00982FEC">
        <w:rPr>
          <w:rStyle w:val="FootnoteReference"/>
          <w:sz w:val="24"/>
          <w:lang w:val="lv-LV"/>
        </w:rPr>
        <w:footnoteRef/>
      </w:r>
      <w:r w:rsidR="00982FEC" w:rsidRPr="00982FEC">
        <w:rPr>
          <w:sz w:val="24"/>
          <w:lang w:val="lv-LV"/>
        </w:rPr>
        <w:t xml:space="preserve"> </w:t>
      </w:r>
      <w:r w:rsidR="00982FEC" w:rsidRPr="00982FEC">
        <w:rPr>
          <w:sz w:val="24"/>
          <w:lang w:val="lv-LV"/>
        </w:rPr>
        <w:tab/>
      </w:r>
      <w:r w:rsidRPr="00982FEC">
        <w:rPr>
          <w:sz w:val="24"/>
          <w:lang w:val="lv-LV"/>
        </w:rPr>
        <w:t>OV L 184, 17.7.1999., 23. lpp.</w:t>
      </w:r>
    </w:p>
  </w:footnote>
  <w:footnote w:id="8">
    <w:p w:rsidR="00972B38" w:rsidRPr="00982FEC" w:rsidRDefault="00972B38" w:rsidP="00982FEC">
      <w:pPr>
        <w:pStyle w:val="FootnoteText"/>
        <w:ind w:left="567" w:hanging="567"/>
        <w:rPr>
          <w:sz w:val="24"/>
          <w:lang w:val="lv-LV"/>
        </w:rPr>
      </w:pPr>
      <w:r w:rsidRPr="00982FEC">
        <w:rPr>
          <w:rStyle w:val="FootnoteReference"/>
          <w:sz w:val="24"/>
          <w:lang w:val="lv-LV"/>
        </w:rPr>
        <w:footnoteRef/>
      </w:r>
      <w:r w:rsidR="00982FEC" w:rsidRPr="00982FEC">
        <w:rPr>
          <w:sz w:val="24"/>
          <w:lang w:val="lv-LV"/>
        </w:rPr>
        <w:t xml:space="preserve"> </w:t>
      </w:r>
      <w:r w:rsidR="00982FEC" w:rsidRPr="00982FEC">
        <w:rPr>
          <w:sz w:val="24"/>
          <w:lang w:val="lv-LV"/>
        </w:rPr>
        <w:tab/>
      </w:r>
      <w:r w:rsidRPr="00982FEC">
        <w:rPr>
          <w:sz w:val="24"/>
          <w:lang w:val="lv-LV"/>
        </w:rPr>
        <w:t>Eiropas Parlamenta un Padomes Regula (EK) Nr. 1272/2008 (2008. gada 16. decembris) par vielu un maisījumu klasificēšanu, marķēšanu un iepakošanu un ar ko groza un atceļ Direktīvas 67/548/EEK un 1999/45/EK un groza Regulu (EK) Nr. 1907/2006 (OV L 353, 31.12.2008., 1. lpp.).</w:t>
      </w:r>
    </w:p>
  </w:footnote>
  <w:footnote w:id="9">
    <w:p w:rsidR="00972B38" w:rsidRPr="00982FEC" w:rsidRDefault="00972B38" w:rsidP="00982FEC">
      <w:pPr>
        <w:pStyle w:val="FootnoteText"/>
        <w:ind w:left="567" w:hanging="567"/>
        <w:rPr>
          <w:sz w:val="24"/>
          <w:highlight w:val="magenta"/>
          <w:lang w:val="lv-LV"/>
        </w:rPr>
      </w:pPr>
      <w:r w:rsidRPr="00982FEC">
        <w:rPr>
          <w:rStyle w:val="FootnoteReference"/>
          <w:sz w:val="24"/>
          <w:lang w:val="lv-LV"/>
        </w:rPr>
        <w:footnoteRef/>
      </w:r>
      <w:r w:rsidR="00982FEC" w:rsidRPr="00982FEC">
        <w:rPr>
          <w:sz w:val="24"/>
          <w:lang w:val="lv-LV"/>
        </w:rPr>
        <w:t xml:space="preserve"> </w:t>
      </w:r>
      <w:r w:rsidR="00982FEC" w:rsidRPr="00982FEC">
        <w:rPr>
          <w:sz w:val="24"/>
          <w:lang w:val="lv-LV"/>
        </w:rPr>
        <w:tab/>
      </w:r>
      <w:hyperlink r:id="rId4" w:history="1">
        <w:r w:rsidRPr="00982FEC">
          <w:rPr>
            <w:rStyle w:val="Hyperlink"/>
            <w:sz w:val="24"/>
            <w:lang w:val="lv-LV"/>
          </w:rPr>
          <w:t>https://www.echa.europa.eu/substance-information/-/substanceinfo/100.130.443</w:t>
        </w:r>
      </w:hyperlink>
      <w:r w:rsidRPr="00982FEC">
        <w:rPr>
          <w:sz w:val="24"/>
          <w:lang w:val="lv-LV"/>
        </w:rPr>
        <w:t>.</w:t>
      </w:r>
    </w:p>
  </w:footnote>
  <w:footnote w:id="10">
    <w:p w:rsidR="00972B38" w:rsidRPr="00982FEC" w:rsidRDefault="00972B38" w:rsidP="00982FEC">
      <w:pPr>
        <w:pStyle w:val="FootnoteText"/>
        <w:ind w:left="567" w:hanging="567"/>
        <w:rPr>
          <w:sz w:val="24"/>
          <w:lang w:val="lv-LV"/>
        </w:rPr>
      </w:pPr>
      <w:r w:rsidRPr="00982FEC">
        <w:rPr>
          <w:rStyle w:val="FootnoteReference"/>
          <w:sz w:val="24"/>
          <w:lang w:val="lv-LV"/>
        </w:rPr>
        <w:footnoteRef/>
      </w:r>
      <w:r w:rsidR="00982FEC" w:rsidRPr="00982FEC">
        <w:rPr>
          <w:i/>
          <w:iCs/>
          <w:sz w:val="24"/>
          <w:lang w:val="lv-LV"/>
        </w:rPr>
        <w:t xml:space="preserve"> </w:t>
      </w:r>
      <w:r w:rsidR="00982FEC" w:rsidRPr="00982FEC">
        <w:rPr>
          <w:i/>
          <w:iCs/>
          <w:sz w:val="24"/>
          <w:lang w:val="lv-LV"/>
        </w:rPr>
        <w:tab/>
      </w:r>
      <w:r w:rsidRPr="00982FEC">
        <w:rPr>
          <w:i/>
          <w:iCs/>
          <w:sz w:val="24"/>
          <w:lang w:val="lv-LV"/>
        </w:rPr>
        <w:t xml:space="preserve">EFSA </w:t>
      </w:r>
      <w:r w:rsidR="00FC2813" w:rsidRPr="00FC2813">
        <w:rPr>
          <w:i/>
          <w:iCs/>
          <w:sz w:val="24"/>
          <w:lang w:val="lv-LV"/>
        </w:rPr>
        <w:t>2010. gada 8. novembra slēdzien</w:t>
      </w:r>
      <w:r w:rsidR="00FC2813">
        <w:rPr>
          <w:i/>
          <w:iCs/>
          <w:sz w:val="24"/>
          <w:lang w:val="lv-LV"/>
        </w:rPr>
        <w:t>s</w:t>
      </w:r>
      <w:r w:rsidR="00FC2813" w:rsidRPr="00FC2813">
        <w:rPr>
          <w:i/>
          <w:iCs/>
          <w:sz w:val="24"/>
          <w:lang w:val="lv-LV"/>
        </w:rPr>
        <w:t xml:space="preserve"> par pesticīdu salīdzinošo analīzi</w:t>
      </w:r>
      <w:r w:rsidRPr="00982FEC">
        <w:rPr>
          <w:sz w:val="24"/>
          <w:lang w:val="lv-LV"/>
        </w:rPr>
        <w:t xml:space="preserve"> </w:t>
      </w:r>
      <w:proofErr w:type="spellStart"/>
      <w:r w:rsidRPr="00982FEC">
        <w:rPr>
          <w:i/>
          <w:iCs/>
          <w:sz w:val="24"/>
          <w:lang w:val="lv-LV"/>
        </w:rPr>
        <w:t>Draskau</w:t>
      </w:r>
      <w:proofErr w:type="spellEnd"/>
      <w:r w:rsidRPr="00982FEC">
        <w:rPr>
          <w:i/>
          <w:iCs/>
          <w:sz w:val="24"/>
          <w:lang w:val="lv-LV"/>
        </w:rPr>
        <w:t xml:space="preserve">, M.K., </w:t>
      </w:r>
      <w:r w:rsidR="00FC2813">
        <w:rPr>
          <w:i/>
          <w:iCs/>
          <w:sz w:val="24"/>
          <w:lang w:val="lv-LV"/>
        </w:rPr>
        <w:t>un</w:t>
      </w:r>
      <w:r w:rsidRPr="00982FEC">
        <w:rPr>
          <w:i/>
          <w:iCs/>
          <w:sz w:val="24"/>
          <w:lang w:val="lv-LV"/>
        </w:rPr>
        <w:t xml:space="preserve"> </w:t>
      </w:r>
      <w:proofErr w:type="spellStart"/>
      <w:r w:rsidRPr="00982FEC">
        <w:rPr>
          <w:i/>
          <w:iCs/>
          <w:sz w:val="24"/>
          <w:lang w:val="lv-LV"/>
        </w:rPr>
        <w:t>Svingen</w:t>
      </w:r>
      <w:proofErr w:type="spellEnd"/>
      <w:r w:rsidRPr="00982FEC">
        <w:rPr>
          <w:i/>
          <w:iCs/>
          <w:sz w:val="24"/>
          <w:lang w:val="lv-LV"/>
        </w:rPr>
        <w:t>, T., ‘</w:t>
      </w:r>
      <w:proofErr w:type="spellStart"/>
      <w:r w:rsidRPr="00982FEC">
        <w:rPr>
          <w:i/>
          <w:iCs/>
          <w:sz w:val="24"/>
          <w:lang w:val="lv-LV"/>
        </w:rPr>
        <w:t>Azole</w:t>
      </w:r>
      <w:proofErr w:type="spellEnd"/>
      <w:r w:rsidRPr="00982FEC">
        <w:rPr>
          <w:i/>
          <w:iCs/>
          <w:sz w:val="24"/>
          <w:lang w:val="lv-LV"/>
        </w:rPr>
        <w:t xml:space="preserve"> </w:t>
      </w:r>
      <w:proofErr w:type="spellStart"/>
      <w:r w:rsidRPr="00982FEC">
        <w:rPr>
          <w:i/>
          <w:iCs/>
          <w:sz w:val="24"/>
          <w:lang w:val="lv-LV"/>
        </w:rPr>
        <w:t>Fungicides</w:t>
      </w:r>
      <w:proofErr w:type="spellEnd"/>
      <w:r w:rsidRPr="00982FEC">
        <w:rPr>
          <w:i/>
          <w:iCs/>
          <w:sz w:val="24"/>
          <w:lang w:val="lv-LV"/>
        </w:rPr>
        <w:t xml:space="preserve"> </w:t>
      </w:r>
      <w:proofErr w:type="spellStart"/>
      <w:r w:rsidRPr="00982FEC">
        <w:rPr>
          <w:i/>
          <w:iCs/>
          <w:sz w:val="24"/>
          <w:lang w:val="lv-LV"/>
        </w:rPr>
        <w:t>and</w:t>
      </w:r>
      <w:proofErr w:type="spellEnd"/>
      <w:r w:rsidRPr="00982FEC">
        <w:rPr>
          <w:i/>
          <w:iCs/>
          <w:sz w:val="24"/>
          <w:lang w:val="lv-LV"/>
        </w:rPr>
        <w:t xml:space="preserve"> </w:t>
      </w:r>
      <w:proofErr w:type="spellStart"/>
      <w:r w:rsidRPr="00982FEC">
        <w:rPr>
          <w:i/>
          <w:iCs/>
          <w:sz w:val="24"/>
          <w:lang w:val="lv-LV"/>
        </w:rPr>
        <w:t>Their</w:t>
      </w:r>
      <w:proofErr w:type="spellEnd"/>
      <w:r w:rsidRPr="00982FEC">
        <w:rPr>
          <w:i/>
          <w:iCs/>
          <w:sz w:val="24"/>
          <w:lang w:val="lv-LV"/>
        </w:rPr>
        <w:t xml:space="preserve"> </w:t>
      </w:r>
      <w:proofErr w:type="spellStart"/>
      <w:r w:rsidRPr="00982FEC">
        <w:rPr>
          <w:i/>
          <w:iCs/>
          <w:sz w:val="24"/>
          <w:lang w:val="lv-LV"/>
        </w:rPr>
        <w:t>Endocrine</w:t>
      </w:r>
      <w:proofErr w:type="spellEnd"/>
      <w:r w:rsidRPr="00982FEC">
        <w:rPr>
          <w:i/>
          <w:iCs/>
          <w:sz w:val="24"/>
          <w:lang w:val="lv-LV"/>
        </w:rPr>
        <w:t xml:space="preserve"> </w:t>
      </w:r>
      <w:proofErr w:type="spellStart"/>
      <w:r w:rsidRPr="00982FEC">
        <w:rPr>
          <w:i/>
          <w:iCs/>
          <w:sz w:val="24"/>
          <w:lang w:val="lv-LV"/>
        </w:rPr>
        <w:t>Disrupting</w:t>
      </w:r>
      <w:proofErr w:type="spellEnd"/>
      <w:r w:rsidRPr="00982FEC">
        <w:rPr>
          <w:i/>
          <w:iCs/>
          <w:sz w:val="24"/>
          <w:lang w:val="lv-LV"/>
        </w:rPr>
        <w:t xml:space="preserve"> </w:t>
      </w:r>
      <w:proofErr w:type="spellStart"/>
      <w:r w:rsidRPr="00982FEC">
        <w:rPr>
          <w:i/>
          <w:iCs/>
          <w:sz w:val="24"/>
          <w:lang w:val="lv-LV"/>
        </w:rPr>
        <w:t>Properties</w:t>
      </w:r>
      <w:proofErr w:type="spellEnd"/>
      <w:r w:rsidRPr="00982FEC">
        <w:rPr>
          <w:i/>
          <w:iCs/>
          <w:sz w:val="24"/>
          <w:lang w:val="lv-LV"/>
        </w:rPr>
        <w:t>:</w:t>
      </w:r>
      <w:r w:rsidRPr="00982FEC">
        <w:rPr>
          <w:sz w:val="24"/>
          <w:lang w:val="lv-LV"/>
        </w:rPr>
        <w:t xml:space="preserve"> </w:t>
      </w:r>
      <w:proofErr w:type="spellStart"/>
      <w:r w:rsidRPr="00982FEC">
        <w:rPr>
          <w:i/>
          <w:iCs/>
          <w:sz w:val="24"/>
          <w:lang w:val="lv-LV"/>
        </w:rPr>
        <w:t>Perspectives</w:t>
      </w:r>
      <w:proofErr w:type="spellEnd"/>
      <w:r w:rsidRPr="00982FEC">
        <w:rPr>
          <w:i/>
          <w:iCs/>
          <w:sz w:val="24"/>
          <w:lang w:val="lv-LV"/>
        </w:rPr>
        <w:t xml:space="preserve"> </w:t>
      </w:r>
      <w:proofErr w:type="spellStart"/>
      <w:r w:rsidRPr="00982FEC">
        <w:rPr>
          <w:i/>
          <w:iCs/>
          <w:sz w:val="24"/>
          <w:lang w:val="lv-LV"/>
        </w:rPr>
        <w:t>on</w:t>
      </w:r>
      <w:proofErr w:type="spellEnd"/>
      <w:r w:rsidRPr="00982FEC">
        <w:rPr>
          <w:i/>
          <w:iCs/>
          <w:sz w:val="24"/>
          <w:lang w:val="lv-LV"/>
        </w:rPr>
        <w:t xml:space="preserve"> </w:t>
      </w:r>
      <w:proofErr w:type="spellStart"/>
      <w:r w:rsidRPr="00982FEC">
        <w:rPr>
          <w:i/>
          <w:iCs/>
          <w:sz w:val="24"/>
          <w:lang w:val="lv-LV"/>
        </w:rPr>
        <w:t>Sex</w:t>
      </w:r>
      <w:proofErr w:type="spellEnd"/>
      <w:r w:rsidRPr="00982FEC">
        <w:rPr>
          <w:i/>
          <w:iCs/>
          <w:sz w:val="24"/>
          <w:lang w:val="lv-LV"/>
        </w:rPr>
        <w:t xml:space="preserve"> </w:t>
      </w:r>
      <w:proofErr w:type="spellStart"/>
      <w:r w:rsidRPr="00982FEC">
        <w:rPr>
          <w:i/>
          <w:iCs/>
          <w:sz w:val="24"/>
          <w:lang w:val="lv-LV"/>
        </w:rPr>
        <w:t>Hormone-Dependent</w:t>
      </w:r>
      <w:proofErr w:type="spellEnd"/>
      <w:r w:rsidRPr="00982FEC">
        <w:rPr>
          <w:i/>
          <w:iCs/>
          <w:sz w:val="24"/>
          <w:lang w:val="lv-LV"/>
        </w:rPr>
        <w:t xml:space="preserve"> </w:t>
      </w:r>
      <w:proofErr w:type="spellStart"/>
      <w:r w:rsidRPr="00982FEC">
        <w:rPr>
          <w:i/>
          <w:iCs/>
          <w:sz w:val="24"/>
          <w:lang w:val="lv-LV"/>
        </w:rPr>
        <w:t>Reproductive</w:t>
      </w:r>
      <w:proofErr w:type="spellEnd"/>
      <w:r w:rsidRPr="00982FEC">
        <w:rPr>
          <w:i/>
          <w:iCs/>
          <w:sz w:val="24"/>
          <w:lang w:val="lv-LV"/>
        </w:rPr>
        <w:t xml:space="preserve"> </w:t>
      </w:r>
      <w:proofErr w:type="spellStart"/>
      <w:r w:rsidRPr="00982FEC">
        <w:rPr>
          <w:i/>
          <w:iCs/>
          <w:sz w:val="24"/>
          <w:lang w:val="lv-LV"/>
        </w:rPr>
        <w:t>Development</w:t>
      </w:r>
      <w:proofErr w:type="spellEnd"/>
      <w:r w:rsidRPr="00982FEC">
        <w:rPr>
          <w:i/>
          <w:iCs/>
          <w:sz w:val="24"/>
          <w:lang w:val="lv-LV"/>
        </w:rPr>
        <w:t xml:space="preserve">’, </w:t>
      </w:r>
      <w:proofErr w:type="spellStart"/>
      <w:r w:rsidRPr="00982FEC">
        <w:rPr>
          <w:i/>
          <w:iCs/>
          <w:sz w:val="24"/>
          <w:lang w:val="lv-LV"/>
        </w:rPr>
        <w:t>Frontiers</w:t>
      </w:r>
      <w:proofErr w:type="spellEnd"/>
      <w:r w:rsidRPr="00982FEC">
        <w:rPr>
          <w:i/>
          <w:iCs/>
          <w:sz w:val="24"/>
          <w:lang w:val="lv-LV"/>
        </w:rPr>
        <w:t xml:space="preserve"> </w:t>
      </w:r>
      <w:proofErr w:type="spellStart"/>
      <w:r w:rsidRPr="00982FEC">
        <w:rPr>
          <w:i/>
          <w:iCs/>
          <w:sz w:val="24"/>
          <w:lang w:val="lv-LV"/>
        </w:rPr>
        <w:t>in</w:t>
      </w:r>
      <w:proofErr w:type="spellEnd"/>
      <w:r w:rsidRPr="00982FEC">
        <w:rPr>
          <w:i/>
          <w:iCs/>
          <w:sz w:val="24"/>
          <w:lang w:val="lv-LV"/>
        </w:rPr>
        <w:t xml:space="preserve"> </w:t>
      </w:r>
      <w:proofErr w:type="spellStart"/>
      <w:r w:rsidRPr="00982FEC">
        <w:rPr>
          <w:i/>
          <w:iCs/>
          <w:sz w:val="24"/>
          <w:lang w:val="lv-LV"/>
        </w:rPr>
        <w:t>Toxicology</w:t>
      </w:r>
      <w:proofErr w:type="spellEnd"/>
      <w:r w:rsidRPr="00982FEC">
        <w:rPr>
          <w:i/>
          <w:iCs/>
          <w:sz w:val="24"/>
          <w:lang w:val="lv-LV"/>
        </w:rPr>
        <w:t xml:space="preserve"> 2022, 4:883254</w:t>
      </w:r>
      <w:r w:rsidRPr="00982FEC">
        <w:rPr>
          <w:sz w:val="24"/>
          <w:lang w:val="lv-LV"/>
        </w:rPr>
        <w:t xml:space="preserve">, </w:t>
      </w:r>
      <w:hyperlink r:id="rId5" w:history="1">
        <w:r w:rsidRPr="00982FEC">
          <w:rPr>
            <w:rStyle w:val="Hyperlink"/>
            <w:color w:val="0000FF"/>
            <w:sz w:val="24"/>
            <w:shd w:val="clear" w:color="auto" w:fill="F7F7F7"/>
            <w:lang w:val="lv-LV"/>
          </w:rPr>
          <w:t>https://doi.org/10.3389/ftox.2022.883254</w:t>
        </w:r>
      </w:hyperlink>
      <w:r w:rsidRPr="00982FEC">
        <w:rPr>
          <w:sz w:val="24"/>
          <w:lang w:val="lv-LV"/>
        </w:rPr>
        <w:t>.</w:t>
      </w:r>
    </w:p>
  </w:footnote>
  <w:footnote w:id="11">
    <w:p w:rsidR="00972B38" w:rsidRPr="00982FEC" w:rsidRDefault="00972B38" w:rsidP="00982FEC">
      <w:pPr>
        <w:pStyle w:val="FootnoteText"/>
        <w:ind w:left="567" w:hanging="567"/>
        <w:rPr>
          <w:sz w:val="24"/>
          <w:lang w:val="lv-LV"/>
        </w:rPr>
      </w:pPr>
      <w:r w:rsidRPr="00982FEC">
        <w:rPr>
          <w:rStyle w:val="FootnoteReference"/>
          <w:sz w:val="24"/>
          <w:lang w:val="lv-LV"/>
        </w:rPr>
        <w:footnoteRef/>
      </w:r>
      <w:r w:rsidR="00982FEC" w:rsidRPr="00982FEC">
        <w:rPr>
          <w:sz w:val="24"/>
          <w:lang w:val="lv-LV"/>
        </w:rPr>
        <w:t xml:space="preserve"> </w:t>
      </w:r>
      <w:r w:rsidR="00982FEC" w:rsidRPr="00982FEC">
        <w:rPr>
          <w:sz w:val="24"/>
          <w:lang w:val="lv-LV"/>
        </w:rPr>
        <w:tab/>
      </w:r>
      <w:r w:rsidRPr="00982FEC">
        <w:rPr>
          <w:sz w:val="24"/>
          <w:lang w:val="lv-LV"/>
        </w:rPr>
        <w:t xml:space="preserve">Komisijas Regula (ES) 2018/605 (2018. gada 19. aprīlis), ar ko groza Regulas (EK) Nr. 1107/2009 II pielikumu, aprakstot zinātniskus kritērijus endokrīni </w:t>
      </w:r>
      <w:proofErr w:type="spellStart"/>
      <w:r w:rsidRPr="00982FEC">
        <w:rPr>
          <w:sz w:val="24"/>
          <w:lang w:val="lv-LV"/>
        </w:rPr>
        <w:t>disruptīvu</w:t>
      </w:r>
      <w:proofErr w:type="spellEnd"/>
      <w:r w:rsidRPr="00982FEC">
        <w:rPr>
          <w:sz w:val="24"/>
          <w:lang w:val="lv-LV"/>
        </w:rPr>
        <w:t xml:space="preserve"> īpašību noteikšanai (OV L 101, 20.4.2018., 33. lpp.).</w:t>
      </w:r>
    </w:p>
  </w:footnote>
  <w:footnote w:id="12">
    <w:p w:rsidR="00972B38" w:rsidRPr="00982FEC" w:rsidRDefault="00972B38" w:rsidP="00982FEC">
      <w:pPr>
        <w:pStyle w:val="FootnoteText"/>
        <w:ind w:left="567" w:hanging="567"/>
        <w:rPr>
          <w:sz w:val="24"/>
          <w:lang w:val="lv-LV"/>
        </w:rPr>
      </w:pPr>
      <w:r w:rsidRPr="00982FEC">
        <w:rPr>
          <w:rStyle w:val="FootnoteReference"/>
          <w:sz w:val="24"/>
          <w:lang w:val="lv-LV"/>
        </w:rPr>
        <w:footnoteRef/>
      </w:r>
      <w:r w:rsidR="00982FEC" w:rsidRPr="00982FEC">
        <w:rPr>
          <w:i/>
          <w:iCs/>
          <w:sz w:val="24"/>
          <w:lang w:val="lv-LV"/>
        </w:rPr>
        <w:t xml:space="preserve"> </w:t>
      </w:r>
      <w:r w:rsidR="00982FEC" w:rsidRPr="00982FEC">
        <w:rPr>
          <w:i/>
          <w:iCs/>
          <w:sz w:val="24"/>
          <w:lang w:val="lv-LV"/>
        </w:rPr>
        <w:tab/>
      </w:r>
      <w:r w:rsidRPr="00982FEC">
        <w:rPr>
          <w:i/>
          <w:iCs/>
          <w:sz w:val="24"/>
          <w:lang w:val="lv-LV"/>
        </w:rPr>
        <w:t xml:space="preserve">EFSA </w:t>
      </w:r>
      <w:proofErr w:type="spellStart"/>
      <w:r w:rsidRPr="00982FEC">
        <w:rPr>
          <w:i/>
          <w:iCs/>
          <w:sz w:val="24"/>
          <w:lang w:val="lv-LV"/>
        </w:rPr>
        <w:t>scientific</w:t>
      </w:r>
      <w:proofErr w:type="spellEnd"/>
      <w:r w:rsidRPr="00982FEC">
        <w:rPr>
          <w:i/>
          <w:iCs/>
          <w:sz w:val="24"/>
          <w:lang w:val="lv-LV"/>
        </w:rPr>
        <w:t xml:space="preserve"> </w:t>
      </w:r>
      <w:proofErr w:type="spellStart"/>
      <w:r w:rsidRPr="00982FEC">
        <w:rPr>
          <w:i/>
          <w:iCs/>
          <w:sz w:val="24"/>
          <w:lang w:val="lv-LV"/>
        </w:rPr>
        <w:t>report</w:t>
      </w:r>
      <w:proofErr w:type="spellEnd"/>
      <w:r w:rsidRPr="00982FEC">
        <w:rPr>
          <w:i/>
          <w:iCs/>
          <w:sz w:val="24"/>
          <w:lang w:val="lv-LV"/>
        </w:rPr>
        <w:t xml:space="preserve"> </w:t>
      </w:r>
      <w:proofErr w:type="spellStart"/>
      <w:r w:rsidRPr="00982FEC">
        <w:rPr>
          <w:i/>
          <w:iCs/>
          <w:sz w:val="24"/>
          <w:lang w:val="lv-LV"/>
        </w:rPr>
        <w:t>of</w:t>
      </w:r>
      <w:proofErr w:type="spellEnd"/>
      <w:r w:rsidRPr="00982FEC">
        <w:rPr>
          <w:i/>
          <w:iCs/>
          <w:sz w:val="24"/>
          <w:lang w:val="lv-LV"/>
        </w:rPr>
        <w:t xml:space="preserve"> </w:t>
      </w:r>
      <w:proofErr w:type="spellStart"/>
      <w:r w:rsidRPr="00982FEC">
        <w:rPr>
          <w:i/>
          <w:iCs/>
          <w:sz w:val="24"/>
          <w:lang w:val="lv-LV"/>
        </w:rPr>
        <w:t>the</w:t>
      </w:r>
      <w:proofErr w:type="spellEnd"/>
      <w:r w:rsidRPr="00982FEC">
        <w:rPr>
          <w:i/>
          <w:iCs/>
          <w:sz w:val="24"/>
          <w:lang w:val="lv-LV"/>
        </w:rPr>
        <w:t xml:space="preserve"> </w:t>
      </w:r>
      <w:proofErr w:type="spellStart"/>
      <w:r w:rsidRPr="00982FEC">
        <w:rPr>
          <w:i/>
          <w:iCs/>
          <w:sz w:val="24"/>
          <w:lang w:val="lv-LV"/>
        </w:rPr>
        <w:t>Endocrine</w:t>
      </w:r>
      <w:proofErr w:type="spellEnd"/>
      <w:r w:rsidRPr="00982FEC">
        <w:rPr>
          <w:i/>
          <w:iCs/>
          <w:sz w:val="24"/>
          <w:lang w:val="lv-LV"/>
        </w:rPr>
        <w:t xml:space="preserve"> </w:t>
      </w:r>
      <w:proofErr w:type="spellStart"/>
      <w:r w:rsidRPr="00982FEC">
        <w:rPr>
          <w:i/>
          <w:iCs/>
          <w:sz w:val="24"/>
          <w:lang w:val="lv-LV"/>
        </w:rPr>
        <w:t>Active</w:t>
      </w:r>
      <w:proofErr w:type="spellEnd"/>
      <w:r w:rsidRPr="00982FEC">
        <w:rPr>
          <w:i/>
          <w:iCs/>
          <w:sz w:val="24"/>
          <w:lang w:val="lv-LV"/>
        </w:rPr>
        <w:t xml:space="preserve"> Substances </w:t>
      </w:r>
      <w:proofErr w:type="spellStart"/>
      <w:r w:rsidRPr="00982FEC">
        <w:rPr>
          <w:i/>
          <w:iCs/>
          <w:sz w:val="24"/>
          <w:lang w:val="lv-LV"/>
        </w:rPr>
        <w:t>Task</w:t>
      </w:r>
      <w:proofErr w:type="spellEnd"/>
      <w:r w:rsidRPr="00982FEC">
        <w:rPr>
          <w:i/>
          <w:iCs/>
          <w:sz w:val="24"/>
          <w:lang w:val="lv-LV"/>
        </w:rPr>
        <w:t xml:space="preserve"> </w:t>
      </w:r>
      <w:proofErr w:type="spellStart"/>
      <w:r w:rsidRPr="00982FEC">
        <w:rPr>
          <w:i/>
          <w:iCs/>
          <w:sz w:val="24"/>
          <w:lang w:val="lv-LV"/>
        </w:rPr>
        <w:t>Force</w:t>
      </w:r>
      <w:proofErr w:type="spellEnd"/>
      <w:r w:rsidRPr="00982FEC">
        <w:rPr>
          <w:i/>
          <w:iCs/>
          <w:sz w:val="24"/>
          <w:lang w:val="lv-LV"/>
        </w:rPr>
        <w:t xml:space="preserve">, EFSA </w:t>
      </w:r>
      <w:proofErr w:type="spellStart"/>
      <w:r w:rsidRPr="00982FEC">
        <w:rPr>
          <w:i/>
          <w:iCs/>
          <w:sz w:val="24"/>
          <w:lang w:val="lv-LV"/>
        </w:rPr>
        <w:t>Journal</w:t>
      </w:r>
      <w:proofErr w:type="spellEnd"/>
      <w:r w:rsidRPr="00982FEC">
        <w:rPr>
          <w:i/>
          <w:iCs/>
          <w:sz w:val="24"/>
          <w:lang w:val="lv-LV"/>
        </w:rPr>
        <w:t xml:space="preserve"> 2010;8(11):1932,</w:t>
      </w:r>
      <w:r w:rsidRPr="00982FEC">
        <w:rPr>
          <w:sz w:val="24"/>
          <w:lang w:val="lv-LV"/>
        </w:rPr>
        <w:t xml:space="preserve"> </w:t>
      </w:r>
      <w:hyperlink r:id="rId6" w:history="1">
        <w:r w:rsidRPr="00982FEC">
          <w:rPr>
            <w:rStyle w:val="Hyperlink"/>
            <w:sz w:val="24"/>
            <w:lang w:val="lv-LV"/>
          </w:rPr>
          <w:t>https://doi.org/10.2903/j.efsa.2010.1932</w:t>
        </w:r>
      </w:hyperlink>
      <w:r w:rsidRPr="00982FEC">
        <w:rPr>
          <w:sz w:val="24"/>
          <w:lang w:val="lv-LV"/>
        </w:rPr>
        <w:t xml:space="preserve">. </w:t>
      </w:r>
    </w:p>
  </w:footnote>
  <w:footnote w:id="13">
    <w:p w:rsidR="00972B38" w:rsidRPr="00982FEC" w:rsidRDefault="00972B38" w:rsidP="00982FEC">
      <w:pPr>
        <w:pStyle w:val="FootnoteText"/>
        <w:ind w:left="567" w:hanging="567"/>
        <w:rPr>
          <w:sz w:val="24"/>
          <w:lang w:val="lv-LV"/>
        </w:rPr>
      </w:pPr>
      <w:r w:rsidRPr="00982FEC">
        <w:rPr>
          <w:rStyle w:val="FootnoteReference"/>
          <w:sz w:val="24"/>
          <w:lang w:val="lv-LV"/>
        </w:rPr>
        <w:footnoteRef/>
      </w:r>
      <w:r w:rsidR="00982FEC" w:rsidRPr="00982FEC">
        <w:rPr>
          <w:i/>
          <w:iCs/>
          <w:sz w:val="24"/>
          <w:lang w:val="lv-LV"/>
        </w:rPr>
        <w:t xml:space="preserve"> </w:t>
      </w:r>
      <w:r w:rsidR="00982FEC" w:rsidRPr="00982FEC">
        <w:rPr>
          <w:i/>
          <w:iCs/>
          <w:sz w:val="24"/>
          <w:lang w:val="lv-LV"/>
        </w:rPr>
        <w:tab/>
      </w:r>
      <w:proofErr w:type="spellStart"/>
      <w:r w:rsidRPr="00982FEC">
        <w:rPr>
          <w:i/>
          <w:iCs/>
          <w:sz w:val="24"/>
          <w:lang w:val="lv-LV"/>
        </w:rPr>
        <w:t>Zhang</w:t>
      </w:r>
      <w:proofErr w:type="spellEnd"/>
      <w:r w:rsidRPr="00982FEC">
        <w:rPr>
          <w:i/>
          <w:iCs/>
          <w:sz w:val="24"/>
          <w:lang w:val="lv-LV"/>
        </w:rPr>
        <w:t xml:space="preserve">, J., </w:t>
      </w:r>
      <w:proofErr w:type="spellStart"/>
      <w:r w:rsidRPr="00982FEC">
        <w:rPr>
          <w:i/>
          <w:iCs/>
          <w:sz w:val="24"/>
          <w:lang w:val="lv-LV"/>
        </w:rPr>
        <w:t>Jimenez</w:t>
      </w:r>
      <w:proofErr w:type="spellEnd"/>
      <w:r w:rsidRPr="00982FEC">
        <w:rPr>
          <w:i/>
          <w:iCs/>
          <w:sz w:val="24"/>
          <w:lang w:val="lv-LV"/>
        </w:rPr>
        <w:t xml:space="preserve">, L.L., </w:t>
      </w:r>
      <w:proofErr w:type="spellStart"/>
      <w:r w:rsidRPr="00982FEC">
        <w:rPr>
          <w:i/>
          <w:iCs/>
          <w:sz w:val="24"/>
          <w:lang w:val="lv-LV"/>
        </w:rPr>
        <w:t>Snelders</w:t>
      </w:r>
      <w:proofErr w:type="spellEnd"/>
      <w:r w:rsidRPr="00982FEC">
        <w:rPr>
          <w:i/>
          <w:iCs/>
          <w:sz w:val="24"/>
          <w:lang w:val="lv-LV"/>
        </w:rPr>
        <w:t xml:space="preserve">, E., Debets, A.J.M., </w:t>
      </w:r>
      <w:proofErr w:type="spellStart"/>
      <w:r w:rsidRPr="00982FEC">
        <w:rPr>
          <w:i/>
          <w:iCs/>
          <w:sz w:val="24"/>
          <w:lang w:val="lv-LV"/>
        </w:rPr>
        <w:t>Rietveld</w:t>
      </w:r>
      <w:proofErr w:type="spellEnd"/>
      <w:r w:rsidRPr="00982FEC">
        <w:rPr>
          <w:i/>
          <w:iCs/>
          <w:sz w:val="24"/>
          <w:lang w:val="lv-LV"/>
        </w:rPr>
        <w:t xml:space="preserve">, A.G., </w:t>
      </w:r>
      <w:proofErr w:type="spellStart"/>
      <w:r w:rsidRPr="00982FEC">
        <w:rPr>
          <w:i/>
          <w:iCs/>
          <w:sz w:val="24"/>
          <w:lang w:val="lv-LV"/>
        </w:rPr>
        <w:t>Zwaan</w:t>
      </w:r>
      <w:proofErr w:type="spellEnd"/>
      <w:r w:rsidRPr="00982FEC">
        <w:rPr>
          <w:i/>
          <w:iCs/>
          <w:sz w:val="24"/>
          <w:lang w:val="lv-LV"/>
        </w:rPr>
        <w:t xml:space="preserve">, B.J., </w:t>
      </w:r>
      <w:proofErr w:type="spellStart"/>
      <w:r w:rsidRPr="00982FEC">
        <w:rPr>
          <w:i/>
          <w:iCs/>
          <w:sz w:val="24"/>
          <w:lang w:val="lv-LV"/>
        </w:rPr>
        <w:t>Verweij</w:t>
      </w:r>
      <w:proofErr w:type="spellEnd"/>
      <w:r w:rsidRPr="00982FEC">
        <w:rPr>
          <w:i/>
          <w:iCs/>
          <w:sz w:val="24"/>
          <w:lang w:val="lv-LV"/>
        </w:rPr>
        <w:t xml:space="preserve">, P.E., </w:t>
      </w:r>
      <w:proofErr w:type="spellStart"/>
      <w:r w:rsidRPr="00982FEC">
        <w:rPr>
          <w:i/>
          <w:iCs/>
          <w:sz w:val="24"/>
          <w:lang w:val="lv-LV"/>
        </w:rPr>
        <w:t>Schoustra</w:t>
      </w:r>
      <w:proofErr w:type="spellEnd"/>
      <w:r w:rsidRPr="00982FEC">
        <w:rPr>
          <w:i/>
          <w:iCs/>
          <w:sz w:val="24"/>
          <w:lang w:val="lv-LV"/>
        </w:rPr>
        <w:t xml:space="preserve">, S.E., ‘Dynamics </w:t>
      </w:r>
      <w:proofErr w:type="spellStart"/>
      <w:r w:rsidRPr="00982FEC">
        <w:rPr>
          <w:i/>
          <w:iCs/>
          <w:sz w:val="24"/>
          <w:lang w:val="lv-LV"/>
        </w:rPr>
        <w:t>of</w:t>
      </w:r>
      <w:proofErr w:type="spellEnd"/>
      <w:r w:rsidRPr="00982FEC">
        <w:rPr>
          <w:i/>
          <w:iCs/>
          <w:sz w:val="24"/>
          <w:lang w:val="lv-LV"/>
        </w:rPr>
        <w:t xml:space="preserve"> </w:t>
      </w:r>
      <w:proofErr w:type="spellStart"/>
      <w:r w:rsidRPr="00982FEC">
        <w:rPr>
          <w:i/>
          <w:iCs/>
          <w:sz w:val="24"/>
          <w:lang w:val="lv-LV"/>
        </w:rPr>
        <w:t>Aspergillus</w:t>
      </w:r>
      <w:proofErr w:type="spellEnd"/>
      <w:r w:rsidRPr="00982FEC">
        <w:rPr>
          <w:i/>
          <w:iCs/>
          <w:sz w:val="24"/>
          <w:lang w:val="lv-LV"/>
        </w:rPr>
        <w:t xml:space="preserve"> </w:t>
      </w:r>
      <w:proofErr w:type="spellStart"/>
      <w:r w:rsidRPr="00982FEC">
        <w:rPr>
          <w:i/>
          <w:iCs/>
          <w:sz w:val="24"/>
          <w:lang w:val="lv-LV"/>
        </w:rPr>
        <w:t>fumigatus</w:t>
      </w:r>
      <w:proofErr w:type="spellEnd"/>
      <w:r w:rsidRPr="00982FEC">
        <w:rPr>
          <w:i/>
          <w:iCs/>
          <w:sz w:val="24"/>
          <w:lang w:val="lv-LV"/>
        </w:rPr>
        <w:t xml:space="preserve"> </w:t>
      </w:r>
      <w:proofErr w:type="spellStart"/>
      <w:r w:rsidRPr="00982FEC">
        <w:rPr>
          <w:i/>
          <w:iCs/>
          <w:sz w:val="24"/>
          <w:lang w:val="lv-LV"/>
        </w:rPr>
        <w:t>in</w:t>
      </w:r>
      <w:proofErr w:type="spellEnd"/>
      <w:r w:rsidRPr="00982FEC">
        <w:rPr>
          <w:i/>
          <w:iCs/>
          <w:sz w:val="24"/>
          <w:lang w:val="lv-LV"/>
        </w:rPr>
        <w:t xml:space="preserve"> </w:t>
      </w:r>
      <w:proofErr w:type="spellStart"/>
      <w:r w:rsidRPr="00982FEC">
        <w:rPr>
          <w:i/>
          <w:iCs/>
          <w:sz w:val="24"/>
          <w:lang w:val="lv-LV"/>
        </w:rPr>
        <w:t>Azole</w:t>
      </w:r>
      <w:proofErr w:type="spellEnd"/>
      <w:r w:rsidRPr="00982FEC">
        <w:rPr>
          <w:i/>
          <w:iCs/>
          <w:sz w:val="24"/>
          <w:lang w:val="lv-LV"/>
        </w:rPr>
        <w:t xml:space="preserve"> </w:t>
      </w:r>
      <w:proofErr w:type="spellStart"/>
      <w:r w:rsidRPr="00982FEC">
        <w:rPr>
          <w:i/>
          <w:iCs/>
          <w:sz w:val="24"/>
          <w:lang w:val="lv-LV"/>
        </w:rPr>
        <w:t>Fungicide-Containing</w:t>
      </w:r>
      <w:proofErr w:type="spellEnd"/>
      <w:r w:rsidRPr="00982FEC">
        <w:rPr>
          <w:i/>
          <w:iCs/>
          <w:sz w:val="24"/>
          <w:lang w:val="lv-LV"/>
        </w:rPr>
        <w:t xml:space="preserve"> </w:t>
      </w:r>
      <w:proofErr w:type="spellStart"/>
      <w:r w:rsidRPr="00982FEC">
        <w:rPr>
          <w:i/>
          <w:iCs/>
          <w:sz w:val="24"/>
          <w:lang w:val="lv-LV"/>
        </w:rPr>
        <w:t>Plant</w:t>
      </w:r>
      <w:proofErr w:type="spellEnd"/>
      <w:r w:rsidRPr="00982FEC">
        <w:rPr>
          <w:i/>
          <w:iCs/>
          <w:sz w:val="24"/>
          <w:lang w:val="lv-LV"/>
        </w:rPr>
        <w:t xml:space="preserve"> </w:t>
      </w:r>
      <w:proofErr w:type="spellStart"/>
      <w:r w:rsidRPr="00982FEC">
        <w:rPr>
          <w:i/>
          <w:iCs/>
          <w:sz w:val="24"/>
          <w:lang w:val="lv-LV"/>
        </w:rPr>
        <w:t>Waste</w:t>
      </w:r>
      <w:proofErr w:type="spellEnd"/>
      <w:r w:rsidRPr="00982FEC">
        <w:rPr>
          <w:i/>
          <w:iCs/>
          <w:sz w:val="24"/>
          <w:lang w:val="lv-LV"/>
        </w:rPr>
        <w:t xml:space="preserve"> </w:t>
      </w:r>
      <w:proofErr w:type="spellStart"/>
      <w:r w:rsidRPr="00982FEC">
        <w:rPr>
          <w:i/>
          <w:iCs/>
          <w:sz w:val="24"/>
          <w:lang w:val="lv-LV"/>
        </w:rPr>
        <w:t>in</w:t>
      </w:r>
      <w:proofErr w:type="spellEnd"/>
      <w:r w:rsidRPr="00982FEC">
        <w:rPr>
          <w:i/>
          <w:iCs/>
          <w:sz w:val="24"/>
          <w:lang w:val="lv-LV"/>
        </w:rPr>
        <w:t xml:space="preserve"> </w:t>
      </w:r>
      <w:proofErr w:type="spellStart"/>
      <w:r w:rsidRPr="00982FEC">
        <w:rPr>
          <w:i/>
          <w:iCs/>
          <w:sz w:val="24"/>
          <w:lang w:val="lv-LV"/>
        </w:rPr>
        <w:t>the</w:t>
      </w:r>
      <w:proofErr w:type="spellEnd"/>
      <w:r w:rsidRPr="00982FEC">
        <w:rPr>
          <w:i/>
          <w:iCs/>
          <w:sz w:val="24"/>
          <w:lang w:val="lv-LV"/>
        </w:rPr>
        <w:t xml:space="preserve"> </w:t>
      </w:r>
      <w:proofErr w:type="spellStart"/>
      <w:r w:rsidRPr="00982FEC">
        <w:rPr>
          <w:i/>
          <w:iCs/>
          <w:sz w:val="24"/>
          <w:lang w:val="lv-LV"/>
        </w:rPr>
        <w:t>Netherlands</w:t>
      </w:r>
      <w:proofErr w:type="spellEnd"/>
      <w:r w:rsidRPr="00982FEC">
        <w:rPr>
          <w:i/>
          <w:iCs/>
          <w:sz w:val="24"/>
          <w:lang w:val="lv-LV"/>
        </w:rPr>
        <w:t xml:space="preserve"> (2016-2017)’, </w:t>
      </w:r>
      <w:proofErr w:type="spellStart"/>
      <w:r w:rsidRPr="00982FEC">
        <w:rPr>
          <w:i/>
          <w:iCs/>
          <w:sz w:val="24"/>
          <w:lang w:val="lv-LV"/>
        </w:rPr>
        <w:t>Applied</w:t>
      </w:r>
      <w:proofErr w:type="spellEnd"/>
      <w:r w:rsidRPr="00982FEC">
        <w:rPr>
          <w:i/>
          <w:iCs/>
          <w:sz w:val="24"/>
          <w:lang w:val="lv-LV"/>
        </w:rPr>
        <w:t xml:space="preserve"> </w:t>
      </w:r>
      <w:proofErr w:type="spellStart"/>
      <w:r w:rsidRPr="00982FEC">
        <w:rPr>
          <w:i/>
          <w:iCs/>
          <w:sz w:val="24"/>
          <w:lang w:val="lv-LV"/>
        </w:rPr>
        <w:t>and</w:t>
      </w:r>
      <w:proofErr w:type="spellEnd"/>
      <w:r w:rsidRPr="00982FEC">
        <w:rPr>
          <w:i/>
          <w:iCs/>
          <w:sz w:val="24"/>
          <w:lang w:val="lv-LV"/>
        </w:rPr>
        <w:t xml:space="preserve"> </w:t>
      </w:r>
      <w:proofErr w:type="spellStart"/>
      <w:r w:rsidRPr="00982FEC">
        <w:rPr>
          <w:i/>
          <w:iCs/>
          <w:sz w:val="24"/>
          <w:lang w:val="lv-LV"/>
        </w:rPr>
        <w:t>Environmental</w:t>
      </w:r>
      <w:proofErr w:type="spellEnd"/>
      <w:r w:rsidRPr="00982FEC">
        <w:rPr>
          <w:i/>
          <w:iCs/>
          <w:sz w:val="24"/>
          <w:lang w:val="lv-LV"/>
        </w:rPr>
        <w:t xml:space="preserve"> </w:t>
      </w:r>
      <w:proofErr w:type="spellStart"/>
      <w:r w:rsidRPr="00982FEC">
        <w:rPr>
          <w:i/>
          <w:iCs/>
          <w:sz w:val="24"/>
          <w:lang w:val="lv-LV"/>
        </w:rPr>
        <w:t>Microbiology</w:t>
      </w:r>
      <w:proofErr w:type="spellEnd"/>
      <w:r w:rsidRPr="00982FEC">
        <w:rPr>
          <w:i/>
          <w:iCs/>
          <w:sz w:val="24"/>
          <w:lang w:val="lv-LV"/>
        </w:rPr>
        <w:t xml:space="preserve"> 2021, 87:e02295-20,</w:t>
      </w:r>
      <w:r w:rsidRPr="00982FEC">
        <w:rPr>
          <w:sz w:val="24"/>
          <w:lang w:val="lv-LV"/>
        </w:rPr>
        <w:t xml:space="preserve"> </w:t>
      </w:r>
      <w:hyperlink r:id="rId7" w:history="1">
        <w:r w:rsidRPr="00982FEC">
          <w:rPr>
            <w:rStyle w:val="Hyperlink"/>
            <w:sz w:val="24"/>
            <w:lang w:val="lv-LV"/>
          </w:rPr>
          <w:t>https://doi.org/10.1128/AEM.02295-20</w:t>
        </w:r>
      </w:hyperlink>
      <w:r w:rsidRPr="00982FEC">
        <w:rPr>
          <w:color w:val="000000"/>
          <w:sz w:val="24"/>
          <w:lang w:val="lv-LV"/>
        </w:rPr>
        <w:t xml:space="preserve">; </w:t>
      </w:r>
      <w:proofErr w:type="spellStart"/>
      <w:r w:rsidRPr="00982FEC">
        <w:rPr>
          <w:i/>
          <w:iCs/>
          <w:color w:val="000000"/>
          <w:sz w:val="24"/>
          <w:lang w:val="lv-LV"/>
        </w:rPr>
        <w:t>The</w:t>
      </w:r>
      <w:proofErr w:type="spellEnd"/>
      <w:r w:rsidRPr="00982FEC">
        <w:rPr>
          <w:i/>
          <w:iCs/>
          <w:color w:val="000000"/>
          <w:sz w:val="24"/>
          <w:lang w:val="lv-LV"/>
        </w:rPr>
        <w:t xml:space="preserve"> </w:t>
      </w:r>
      <w:proofErr w:type="spellStart"/>
      <w:r w:rsidRPr="00982FEC">
        <w:rPr>
          <w:i/>
          <w:iCs/>
          <w:color w:val="000000"/>
          <w:sz w:val="24"/>
          <w:lang w:val="lv-LV"/>
        </w:rPr>
        <w:t>Danish</w:t>
      </w:r>
      <w:proofErr w:type="spellEnd"/>
      <w:r w:rsidRPr="00982FEC">
        <w:rPr>
          <w:i/>
          <w:iCs/>
          <w:color w:val="000000"/>
          <w:sz w:val="24"/>
          <w:lang w:val="lv-LV"/>
        </w:rPr>
        <w:t xml:space="preserve"> </w:t>
      </w:r>
      <w:proofErr w:type="spellStart"/>
      <w:r w:rsidRPr="00982FEC">
        <w:rPr>
          <w:i/>
          <w:iCs/>
          <w:color w:val="000000"/>
          <w:sz w:val="24"/>
          <w:lang w:val="lv-LV"/>
        </w:rPr>
        <w:t>Environment</w:t>
      </w:r>
      <w:proofErr w:type="spellEnd"/>
      <w:r w:rsidRPr="00982FEC">
        <w:rPr>
          <w:i/>
          <w:iCs/>
          <w:color w:val="000000"/>
          <w:sz w:val="24"/>
          <w:lang w:val="lv-LV"/>
        </w:rPr>
        <w:t xml:space="preserve"> </w:t>
      </w:r>
      <w:proofErr w:type="spellStart"/>
      <w:r w:rsidRPr="00982FEC">
        <w:rPr>
          <w:i/>
          <w:iCs/>
          <w:color w:val="000000"/>
          <w:sz w:val="24"/>
          <w:lang w:val="lv-LV"/>
        </w:rPr>
        <w:t>and</w:t>
      </w:r>
      <w:proofErr w:type="spellEnd"/>
      <w:r w:rsidRPr="00982FEC">
        <w:rPr>
          <w:i/>
          <w:iCs/>
          <w:color w:val="000000"/>
          <w:sz w:val="24"/>
          <w:lang w:val="lv-LV"/>
        </w:rPr>
        <w:t xml:space="preserve"> </w:t>
      </w:r>
      <w:proofErr w:type="spellStart"/>
      <w:r w:rsidRPr="00982FEC">
        <w:rPr>
          <w:i/>
          <w:iCs/>
          <w:color w:val="000000"/>
          <w:sz w:val="24"/>
          <w:lang w:val="lv-LV"/>
        </w:rPr>
        <w:t>Food</w:t>
      </w:r>
      <w:proofErr w:type="spellEnd"/>
      <w:r w:rsidRPr="00982FEC">
        <w:rPr>
          <w:i/>
          <w:iCs/>
          <w:color w:val="000000"/>
          <w:sz w:val="24"/>
          <w:lang w:val="lv-LV"/>
        </w:rPr>
        <w:t xml:space="preserve"> </w:t>
      </w:r>
      <w:proofErr w:type="spellStart"/>
      <w:r w:rsidRPr="00982FEC">
        <w:rPr>
          <w:i/>
          <w:iCs/>
          <w:color w:val="000000"/>
          <w:sz w:val="24"/>
          <w:lang w:val="lv-LV"/>
        </w:rPr>
        <w:t>Committee</w:t>
      </w:r>
      <w:proofErr w:type="spellEnd"/>
      <w:r w:rsidRPr="00982FEC">
        <w:rPr>
          <w:i/>
          <w:iCs/>
          <w:color w:val="000000"/>
          <w:sz w:val="24"/>
          <w:lang w:val="lv-LV"/>
        </w:rPr>
        <w:t xml:space="preserve"> </w:t>
      </w:r>
      <w:proofErr w:type="spellStart"/>
      <w:r w:rsidRPr="00982FEC">
        <w:rPr>
          <w:i/>
          <w:iCs/>
          <w:color w:val="000000"/>
          <w:sz w:val="24"/>
          <w:lang w:val="lv-LV"/>
        </w:rPr>
        <w:t>on</w:t>
      </w:r>
      <w:proofErr w:type="spellEnd"/>
      <w:r w:rsidRPr="00982FEC">
        <w:rPr>
          <w:i/>
          <w:iCs/>
          <w:color w:val="000000"/>
          <w:sz w:val="24"/>
          <w:lang w:val="lv-LV"/>
        </w:rPr>
        <w:t xml:space="preserve"> </w:t>
      </w:r>
      <w:proofErr w:type="spellStart"/>
      <w:r w:rsidRPr="00982FEC">
        <w:rPr>
          <w:i/>
          <w:iCs/>
          <w:color w:val="000000"/>
          <w:sz w:val="24"/>
          <w:lang w:val="lv-LV"/>
        </w:rPr>
        <w:t>azole</w:t>
      </w:r>
      <w:proofErr w:type="spellEnd"/>
      <w:r w:rsidRPr="00982FEC">
        <w:rPr>
          <w:i/>
          <w:iCs/>
          <w:color w:val="000000"/>
          <w:sz w:val="24"/>
          <w:lang w:val="lv-LV"/>
        </w:rPr>
        <w:t xml:space="preserve"> </w:t>
      </w:r>
      <w:proofErr w:type="spellStart"/>
      <w:r w:rsidRPr="00982FEC">
        <w:rPr>
          <w:i/>
          <w:iCs/>
          <w:color w:val="000000"/>
          <w:sz w:val="24"/>
          <w:lang w:val="lv-LV"/>
        </w:rPr>
        <w:t>resistance</w:t>
      </w:r>
      <w:proofErr w:type="spellEnd"/>
      <w:r w:rsidRPr="00982FEC">
        <w:rPr>
          <w:i/>
          <w:iCs/>
          <w:color w:val="000000"/>
          <w:sz w:val="24"/>
          <w:lang w:val="lv-LV"/>
        </w:rPr>
        <w:t>,</w:t>
      </w:r>
      <w:r w:rsidRPr="00982FEC">
        <w:rPr>
          <w:color w:val="000000"/>
          <w:sz w:val="24"/>
          <w:lang w:val="lv-LV"/>
        </w:rPr>
        <w:t xml:space="preserve"> </w:t>
      </w:r>
      <w:hyperlink r:id="rId8" w:history="1">
        <w:r w:rsidRPr="00982FEC">
          <w:rPr>
            <w:rStyle w:val="Hyperlink"/>
            <w:sz w:val="24"/>
            <w:lang w:val="lv-LV"/>
          </w:rPr>
          <w:t>https://www.ft.dk/samling/20181/almdel/MOF/bilag/407/2016336.pdf</w:t>
        </w:r>
      </w:hyperlink>
      <w:r w:rsidRPr="00982FEC">
        <w:rPr>
          <w:color w:val="000000"/>
          <w:sz w:val="24"/>
          <w:lang w:val="lv-LV"/>
        </w:rPr>
        <w:t xml:space="preserve">; </w:t>
      </w:r>
      <w:proofErr w:type="spellStart"/>
      <w:r w:rsidRPr="00982FEC">
        <w:rPr>
          <w:i/>
          <w:iCs/>
          <w:color w:val="000000"/>
          <w:sz w:val="24"/>
          <w:lang w:val="lv-LV"/>
        </w:rPr>
        <w:t>Snelders</w:t>
      </w:r>
      <w:proofErr w:type="spellEnd"/>
      <w:r w:rsidRPr="00982FEC">
        <w:rPr>
          <w:i/>
          <w:iCs/>
          <w:color w:val="000000"/>
          <w:sz w:val="24"/>
          <w:lang w:val="lv-LV"/>
        </w:rPr>
        <w:t xml:space="preserve">, E., </w:t>
      </w:r>
      <w:proofErr w:type="spellStart"/>
      <w:r w:rsidRPr="00982FEC">
        <w:rPr>
          <w:i/>
          <w:iCs/>
          <w:color w:val="000000"/>
          <w:sz w:val="24"/>
          <w:lang w:val="lv-LV"/>
        </w:rPr>
        <w:t>Camps</w:t>
      </w:r>
      <w:proofErr w:type="spellEnd"/>
      <w:r w:rsidRPr="00982FEC">
        <w:rPr>
          <w:i/>
          <w:iCs/>
          <w:color w:val="000000"/>
          <w:sz w:val="24"/>
          <w:lang w:val="lv-LV"/>
        </w:rPr>
        <w:t xml:space="preserve">, S.M.T., </w:t>
      </w:r>
      <w:proofErr w:type="spellStart"/>
      <w:r w:rsidRPr="00982FEC">
        <w:rPr>
          <w:i/>
          <w:iCs/>
          <w:color w:val="000000"/>
          <w:sz w:val="24"/>
          <w:lang w:val="lv-LV"/>
        </w:rPr>
        <w:t>Karawajczyk</w:t>
      </w:r>
      <w:proofErr w:type="spellEnd"/>
      <w:r w:rsidRPr="00982FEC">
        <w:rPr>
          <w:i/>
          <w:iCs/>
          <w:color w:val="000000"/>
          <w:sz w:val="24"/>
          <w:lang w:val="lv-LV"/>
        </w:rPr>
        <w:t xml:space="preserve">, A., </w:t>
      </w:r>
      <w:proofErr w:type="spellStart"/>
      <w:r w:rsidRPr="00982FEC">
        <w:rPr>
          <w:i/>
          <w:iCs/>
          <w:color w:val="000000"/>
          <w:sz w:val="24"/>
          <w:lang w:val="lv-LV"/>
        </w:rPr>
        <w:t>Schaftenaar</w:t>
      </w:r>
      <w:proofErr w:type="spellEnd"/>
      <w:r w:rsidRPr="00982FEC">
        <w:rPr>
          <w:i/>
          <w:iCs/>
          <w:color w:val="000000"/>
          <w:sz w:val="24"/>
          <w:lang w:val="lv-LV"/>
        </w:rPr>
        <w:t xml:space="preserve">, G., </w:t>
      </w:r>
      <w:proofErr w:type="spellStart"/>
      <w:r w:rsidRPr="00982FEC">
        <w:rPr>
          <w:i/>
          <w:iCs/>
          <w:color w:val="000000"/>
          <w:sz w:val="24"/>
          <w:lang w:val="lv-LV"/>
        </w:rPr>
        <w:t>Kema</w:t>
      </w:r>
      <w:proofErr w:type="spellEnd"/>
      <w:r w:rsidRPr="00982FEC">
        <w:rPr>
          <w:i/>
          <w:iCs/>
          <w:color w:val="000000"/>
          <w:sz w:val="24"/>
          <w:lang w:val="lv-LV"/>
        </w:rPr>
        <w:t xml:space="preserve">, G.H.J., </w:t>
      </w:r>
      <w:proofErr w:type="spellStart"/>
      <w:r w:rsidRPr="00982FEC">
        <w:rPr>
          <w:i/>
          <w:iCs/>
          <w:color w:val="000000"/>
          <w:sz w:val="24"/>
          <w:lang w:val="lv-LV"/>
        </w:rPr>
        <w:t>van</w:t>
      </w:r>
      <w:proofErr w:type="spellEnd"/>
      <w:r w:rsidRPr="00982FEC">
        <w:rPr>
          <w:i/>
          <w:iCs/>
          <w:color w:val="000000"/>
          <w:sz w:val="24"/>
          <w:lang w:val="lv-LV"/>
        </w:rPr>
        <w:t xml:space="preserve"> der </w:t>
      </w:r>
      <w:proofErr w:type="spellStart"/>
      <w:r w:rsidRPr="00982FEC">
        <w:rPr>
          <w:i/>
          <w:iCs/>
          <w:color w:val="000000"/>
          <w:sz w:val="24"/>
          <w:lang w:val="lv-LV"/>
        </w:rPr>
        <w:t>Lee</w:t>
      </w:r>
      <w:proofErr w:type="spellEnd"/>
      <w:r w:rsidRPr="00982FEC">
        <w:rPr>
          <w:i/>
          <w:iCs/>
          <w:color w:val="000000"/>
          <w:sz w:val="24"/>
          <w:lang w:val="lv-LV"/>
        </w:rPr>
        <w:t xml:space="preserve">, H.A., </w:t>
      </w:r>
      <w:proofErr w:type="spellStart"/>
      <w:r w:rsidRPr="00982FEC">
        <w:rPr>
          <w:i/>
          <w:iCs/>
          <w:color w:val="000000"/>
          <w:sz w:val="24"/>
          <w:lang w:val="lv-LV"/>
        </w:rPr>
        <w:t>et</w:t>
      </w:r>
      <w:proofErr w:type="spellEnd"/>
      <w:r w:rsidRPr="00982FEC">
        <w:rPr>
          <w:i/>
          <w:iCs/>
          <w:color w:val="000000"/>
          <w:sz w:val="24"/>
          <w:lang w:val="lv-LV"/>
        </w:rPr>
        <w:t xml:space="preserve"> </w:t>
      </w:r>
      <w:proofErr w:type="spellStart"/>
      <w:r w:rsidRPr="00982FEC">
        <w:rPr>
          <w:i/>
          <w:iCs/>
          <w:color w:val="000000"/>
          <w:sz w:val="24"/>
          <w:lang w:val="lv-LV"/>
        </w:rPr>
        <w:t>al</w:t>
      </w:r>
      <w:proofErr w:type="spellEnd"/>
      <w:r w:rsidRPr="00982FEC">
        <w:rPr>
          <w:i/>
          <w:iCs/>
          <w:color w:val="000000"/>
          <w:sz w:val="24"/>
          <w:lang w:val="lv-LV"/>
        </w:rPr>
        <w:t>., ‘</w:t>
      </w:r>
      <w:proofErr w:type="spellStart"/>
      <w:r w:rsidRPr="00982FEC">
        <w:rPr>
          <w:i/>
          <w:iCs/>
          <w:color w:val="000000"/>
          <w:sz w:val="24"/>
          <w:lang w:val="lv-LV"/>
        </w:rPr>
        <w:t>Triazole</w:t>
      </w:r>
      <w:proofErr w:type="spellEnd"/>
      <w:r w:rsidRPr="00982FEC">
        <w:rPr>
          <w:i/>
          <w:iCs/>
          <w:color w:val="000000"/>
          <w:sz w:val="24"/>
          <w:lang w:val="lv-LV"/>
        </w:rPr>
        <w:t xml:space="preserve"> </w:t>
      </w:r>
      <w:proofErr w:type="spellStart"/>
      <w:r w:rsidRPr="00982FEC">
        <w:rPr>
          <w:i/>
          <w:iCs/>
          <w:color w:val="000000"/>
          <w:sz w:val="24"/>
          <w:lang w:val="lv-LV"/>
        </w:rPr>
        <w:t>Fungicides</w:t>
      </w:r>
      <w:proofErr w:type="spellEnd"/>
      <w:r w:rsidRPr="00982FEC">
        <w:rPr>
          <w:i/>
          <w:iCs/>
          <w:color w:val="000000"/>
          <w:sz w:val="24"/>
          <w:lang w:val="lv-LV"/>
        </w:rPr>
        <w:t xml:space="preserve"> </w:t>
      </w:r>
      <w:proofErr w:type="spellStart"/>
      <w:r w:rsidRPr="00982FEC">
        <w:rPr>
          <w:i/>
          <w:iCs/>
          <w:color w:val="000000"/>
          <w:sz w:val="24"/>
          <w:lang w:val="lv-LV"/>
        </w:rPr>
        <w:t>Can</w:t>
      </w:r>
      <w:proofErr w:type="spellEnd"/>
      <w:r w:rsidRPr="00982FEC">
        <w:rPr>
          <w:i/>
          <w:iCs/>
          <w:color w:val="000000"/>
          <w:sz w:val="24"/>
          <w:lang w:val="lv-LV"/>
        </w:rPr>
        <w:t xml:space="preserve"> </w:t>
      </w:r>
      <w:proofErr w:type="spellStart"/>
      <w:r w:rsidRPr="00982FEC">
        <w:rPr>
          <w:i/>
          <w:iCs/>
          <w:color w:val="000000"/>
          <w:sz w:val="24"/>
          <w:lang w:val="lv-LV"/>
        </w:rPr>
        <w:t>Induce</w:t>
      </w:r>
      <w:proofErr w:type="spellEnd"/>
      <w:r w:rsidRPr="00982FEC">
        <w:rPr>
          <w:i/>
          <w:iCs/>
          <w:color w:val="000000"/>
          <w:sz w:val="24"/>
          <w:lang w:val="lv-LV"/>
        </w:rPr>
        <w:t xml:space="preserve"> </w:t>
      </w:r>
      <w:proofErr w:type="spellStart"/>
      <w:r w:rsidRPr="00982FEC">
        <w:rPr>
          <w:i/>
          <w:iCs/>
          <w:color w:val="000000"/>
          <w:sz w:val="24"/>
          <w:lang w:val="lv-LV"/>
        </w:rPr>
        <w:t>Cross-Resistance</w:t>
      </w:r>
      <w:proofErr w:type="spellEnd"/>
      <w:r w:rsidRPr="00982FEC">
        <w:rPr>
          <w:i/>
          <w:iCs/>
          <w:color w:val="000000"/>
          <w:sz w:val="24"/>
          <w:lang w:val="lv-LV"/>
        </w:rPr>
        <w:t xml:space="preserve"> to </w:t>
      </w:r>
      <w:proofErr w:type="spellStart"/>
      <w:r w:rsidRPr="00982FEC">
        <w:rPr>
          <w:i/>
          <w:iCs/>
          <w:color w:val="000000"/>
          <w:sz w:val="24"/>
          <w:lang w:val="lv-LV"/>
        </w:rPr>
        <w:t>Medical</w:t>
      </w:r>
      <w:proofErr w:type="spellEnd"/>
      <w:r w:rsidRPr="00982FEC">
        <w:rPr>
          <w:i/>
          <w:iCs/>
          <w:color w:val="000000"/>
          <w:sz w:val="24"/>
          <w:lang w:val="lv-LV"/>
        </w:rPr>
        <w:t xml:space="preserve"> </w:t>
      </w:r>
      <w:proofErr w:type="spellStart"/>
      <w:r w:rsidRPr="00982FEC">
        <w:rPr>
          <w:i/>
          <w:iCs/>
          <w:color w:val="000000"/>
          <w:sz w:val="24"/>
          <w:lang w:val="lv-LV"/>
        </w:rPr>
        <w:t>Triazoles</w:t>
      </w:r>
      <w:proofErr w:type="spellEnd"/>
      <w:r w:rsidRPr="00982FEC">
        <w:rPr>
          <w:i/>
          <w:iCs/>
          <w:color w:val="000000"/>
          <w:sz w:val="24"/>
          <w:lang w:val="lv-LV"/>
        </w:rPr>
        <w:t xml:space="preserve"> </w:t>
      </w:r>
      <w:proofErr w:type="spellStart"/>
      <w:r w:rsidRPr="00982FEC">
        <w:rPr>
          <w:i/>
          <w:iCs/>
          <w:color w:val="000000"/>
          <w:sz w:val="24"/>
          <w:lang w:val="lv-LV"/>
        </w:rPr>
        <w:t>in</w:t>
      </w:r>
      <w:proofErr w:type="spellEnd"/>
      <w:r w:rsidRPr="00982FEC">
        <w:rPr>
          <w:i/>
          <w:iCs/>
          <w:color w:val="000000"/>
          <w:sz w:val="24"/>
          <w:lang w:val="lv-LV"/>
        </w:rPr>
        <w:t xml:space="preserve"> </w:t>
      </w:r>
      <w:proofErr w:type="spellStart"/>
      <w:r w:rsidRPr="00982FEC">
        <w:rPr>
          <w:i/>
          <w:iCs/>
          <w:color w:val="000000"/>
          <w:sz w:val="24"/>
          <w:lang w:val="lv-LV"/>
        </w:rPr>
        <w:t>Aspergillus</w:t>
      </w:r>
      <w:proofErr w:type="spellEnd"/>
      <w:r w:rsidRPr="00982FEC">
        <w:rPr>
          <w:i/>
          <w:iCs/>
          <w:color w:val="000000"/>
          <w:sz w:val="24"/>
          <w:lang w:val="lv-LV"/>
        </w:rPr>
        <w:t xml:space="preserve"> </w:t>
      </w:r>
      <w:proofErr w:type="spellStart"/>
      <w:r w:rsidRPr="00982FEC">
        <w:rPr>
          <w:i/>
          <w:iCs/>
          <w:color w:val="000000"/>
          <w:sz w:val="24"/>
          <w:lang w:val="lv-LV"/>
        </w:rPr>
        <w:t>fumigatus</w:t>
      </w:r>
      <w:proofErr w:type="spellEnd"/>
      <w:r w:rsidRPr="00982FEC">
        <w:rPr>
          <w:i/>
          <w:iCs/>
          <w:color w:val="000000"/>
          <w:sz w:val="24"/>
          <w:lang w:val="lv-LV"/>
        </w:rPr>
        <w:t>’.</w:t>
      </w:r>
      <w:r w:rsidRPr="00982FEC">
        <w:rPr>
          <w:color w:val="000000"/>
          <w:sz w:val="24"/>
          <w:lang w:val="lv-LV"/>
        </w:rPr>
        <w:t xml:space="preserve"> </w:t>
      </w:r>
      <w:proofErr w:type="spellStart"/>
      <w:r w:rsidRPr="00982FEC">
        <w:rPr>
          <w:i/>
          <w:iCs/>
          <w:color w:val="000000"/>
          <w:sz w:val="24"/>
          <w:lang w:val="lv-LV"/>
        </w:rPr>
        <w:t>PLoS</w:t>
      </w:r>
      <w:proofErr w:type="spellEnd"/>
      <w:r w:rsidRPr="00982FEC">
        <w:rPr>
          <w:i/>
          <w:iCs/>
          <w:color w:val="000000"/>
          <w:sz w:val="24"/>
          <w:lang w:val="lv-LV"/>
        </w:rPr>
        <w:t xml:space="preserve"> ONE 2012, 7(3):</w:t>
      </w:r>
      <w:r w:rsidRPr="00982FEC">
        <w:rPr>
          <w:color w:val="000000"/>
          <w:sz w:val="24"/>
          <w:lang w:val="lv-LV"/>
        </w:rPr>
        <w:t xml:space="preserve"> </w:t>
      </w:r>
      <w:r w:rsidRPr="00982FEC">
        <w:rPr>
          <w:i/>
          <w:iCs/>
          <w:color w:val="000000"/>
          <w:sz w:val="24"/>
          <w:lang w:val="lv-LV"/>
        </w:rPr>
        <w:t>e31801</w:t>
      </w:r>
      <w:r w:rsidRPr="00982FEC">
        <w:rPr>
          <w:color w:val="000000"/>
          <w:sz w:val="24"/>
          <w:lang w:val="lv-LV"/>
        </w:rPr>
        <w:t>. https://doi.org/10.1371/journal.pone.0031801.</w:t>
      </w:r>
    </w:p>
  </w:footnote>
  <w:footnote w:id="14">
    <w:p w:rsidR="00972B38" w:rsidRPr="00982FEC" w:rsidRDefault="00972B38" w:rsidP="00982FEC">
      <w:pPr>
        <w:pStyle w:val="FootnoteText"/>
        <w:ind w:left="567" w:hanging="567"/>
        <w:rPr>
          <w:sz w:val="24"/>
          <w:lang w:val="lv-LV"/>
        </w:rPr>
      </w:pPr>
      <w:r w:rsidRPr="00982FEC">
        <w:rPr>
          <w:rStyle w:val="FootnoteReference"/>
          <w:sz w:val="24"/>
          <w:lang w:val="lv-LV"/>
        </w:rPr>
        <w:footnoteRef/>
      </w:r>
      <w:r w:rsidR="00982FEC" w:rsidRPr="00982FEC">
        <w:rPr>
          <w:sz w:val="24"/>
          <w:lang w:val="lv-LV"/>
        </w:rPr>
        <w:t xml:space="preserve"> </w:t>
      </w:r>
      <w:r w:rsidR="00982FEC" w:rsidRPr="00982FEC">
        <w:rPr>
          <w:sz w:val="24"/>
          <w:lang w:val="lv-LV"/>
        </w:rPr>
        <w:tab/>
      </w:r>
      <w:hyperlink r:id="rId9" w:history="1">
        <w:r w:rsidRPr="00982FEC">
          <w:rPr>
            <w:rStyle w:val="Hyperlink"/>
            <w:sz w:val="24"/>
            <w:lang w:val="lv-LV"/>
          </w:rPr>
          <w:t>https://open.efsa.europa.eu/question/EFSA-Q-2022-00040</w:t>
        </w:r>
      </w:hyperlink>
      <w:r w:rsidRPr="00982FEC">
        <w:rPr>
          <w:sz w:val="24"/>
          <w:lang w:val="lv-LV"/>
        </w:rPr>
        <w:t>.</w:t>
      </w:r>
    </w:p>
  </w:footnote>
  <w:footnote w:id="15">
    <w:p w:rsidR="00972B38" w:rsidRPr="00982FEC" w:rsidRDefault="00972B38" w:rsidP="00982FEC">
      <w:pPr>
        <w:pStyle w:val="FootnoteText"/>
        <w:ind w:left="567" w:hanging="567"/>
        <w:rPr>
          <w:sz w:val="24"/>
          <w:lang w:val="lv-LV"/>
        </w:rPr>
      </w:pPr>
      <w:r w:rsidRPr="00982FEC">
        <w:rPr>
          <w:rStyle w:val="FootnoteReference"/>
          <w:sz w:val="24"/>
          <w:lang w:val="lv-LV"/>
        </w:rPr>
        <w:footnoteRef/>
      </w:r>
      <w:r w:rsidR="00982FEC" w:rsidRPr="00982FEC">
        <w:rPr>
          <w:sz w:val="24"/>
          <w:lang w:val="lv-LV"/>
        </w:rPr>
        <w:t xml:space="preserve"> </w:t>
      </w:r>
      <w:r w:rsidR="00982FEC" w:rsidRPr="00982FEC">
        <w:rPr>
          <w:sz w:val="24"/>
          <w:lang w:val="lv-LV"/>
        </w:rPr>
        <w:tab/>
      </w:r>
      <w:hyperlink r:id="rId10" w:history="1">
        <w:r w:rsidRPr="00982FEC">
          <w:rPr>
            <w:rStyle w:val="Hyperlink"/>
            <w:sz w:val="24"/>
            <w:lang w:val="lv-LV"/>
          </w:rPr>
          <w:t>https://ec.europa.eu/transparency/comitology-register/screen/documents/089880/5/consult?lang=en</w:t>
        </w:r>
      </w:hyperlink>
      <w:r w:rsidRPr="00982FEC">
        <w:rPr>
          <w:rStyle w:val="Hyperlink"/>
          <w:sz w:val="24"/>
          <w:lang w:val="lv-LV"/>
        </w:rPr>
        <w:t>.</w:t>
      </w:r>
      <w:r w:rsidRPr="00982FEC">
        <w:rPr>
          <w:sz w:val="24"/>
          <w:lang w:val="lv-LV"/>
        </w:rPr>
        <w:t xml:space="preserve"> </w:t>
      </w:r>
    </w:p>
  </w:footnote>
  <w:footnote w:id="16">
    <w:p w:rsidR="00972B38" w:rsidRPr="00982FEC" w:rsidRDefault="00972B38" w:rsidP="00982FEC">
      <w:pPr>
        <w:pStyle w:val="FootnoteText"/>
        <w:ind w:left="567" w:hanging="567"/>
        <w:rPr>
          <w:sz w:val="24"/>
          <w:lang w:val="lv-LV"/>
        </w:rPr>
      </w:pPr>
      <w:r w:rsidRPr="00982FEC">
        <w:rPr>
          <w:sz w:val="24"/>
          <w:vertAlign w:val="superscript"/>
          <w:lang w:val="lv-LV"/>
        </w:rPr>
        <w:footnoteRef/>
      </w:r>
      <w:r w:rsidR="00982FEC" w:rsidRPr="00982FEC">
        <w:rPr>
          <w:sz w:val="24"/>
          <w:lang w:val="lv-LV"/>
        </w:rPr>
        <w:t xml:space="preserve"> </w:t>
      </w:r>
      <w:r w:rsidR="00982FEC" w:rsidRPr="00982FEC">
        <w:rPr>
          <w:sz w:val="24"/>
          <w:lang w:val="lv-LV"/>
        </w:rPr>
        <w:tab/>
      </w:r>
      <w:r w:rsidRPr="00982FEC">
        <w:rPr>
          <w:sz w:val="24"/>
          <w:lang w:val="lv-LV"/>
        </w:rPr>
        <w:t>COM(2020)0381.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82FE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82FE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82FE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1/2024"/>
    <w:docVar w:name="dvlangue" w:val="LV"/>
    <w:docVar w:name="dvnumam" w:val="0"/>
    <w:docVar w:name="dvpe" w:val="763.091"/>
    <w:docVar w:name="dvtitre" w:val="Eiropas Parlamenta 2024. gada XX. XXX  rezolūcija par priekšlikumu Komisijas regulai, ar ko attiecībā uz maksimāli pieļaujamajiem ciprokonazola un spirodiklofēna atlieku līmeņiem konkrētos produktos un uz tiem groza Eiropas Parlamenta un Padomes Regulas (EK) Nr. 396/2005 II un III pielikumu(D091952/05 – 2024/2759(RPS))"/>
  </w:docVars>
  <w:rsids>
    <w:rsidRoot w:val="00714FC4"/>
    <w:rsid w:val="00002272"/>
    <w:rsid w:val="00064002"/>
    <w:rsid w:val="000677B9"/>
    <w:rsid w:val="000831BA"/>
    <w:rsid w:val="000A42CC"/>
    <w:rsid w:val="000E7DD9"/>
    <w:rsid w:val="0010095E"/>
    <w:rsid w:val="00125B37"/>
    <w:rsid w:val="00187494"/>
    <w:rsid w:val="001B5F4F"/>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67F2"/>
    <w:rsid w:val="005F1B17"/>
    <w:rsid w:val="006037C0"/>
    <w:rsid w:val="006631B6"/>
    <w:rsid w:val="00680577"/>
    <w:rsid w:val="006F74FA"/>
    <w:rsid w:val="00714FC4"/>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2B38"/>
    <w:rsid w:val="00981893"/>
    <w:rsid w:val="00982FEC"/>
    <w:rsid w:val="009D2BB2"/>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2813"/>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61187C"/>
  <w15:chartTrackingRefBased/>
  <w15:docId w15:val="{89415A74-B4CE-4C9D-B836-4C0CE4732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72B38"/>
    <w:pPr>
      <w:spacing w:before="480" w:after="240"/>
    </w:pPr>
  </w:style>
  <w:style w:type="paragraph" w:customStyle="1" w:styleId="NormalBold">
    <w:name w:val="NormalBold"/>
    <w:basedOn w:val="Normal"/>
    <w:rsid w:val="00972B38"/>
    <w:rPr>
      <w:b/>
    </w:rPr>
  </w:style>
  <w:style w:type="paragraph" w:customStyle="1" w:styleId="NormalHanging12a">
    <w:name w:val="NormalHanging12a"/>
    <w:basedOn w:val="Normal"/>
    <w:uiPriority w:val="99"/>
    <w:rsid w:val="00972B38"/>
    <w:pPr>
      <w:spacing w:after="240"/>
      <w:ind w:left="567" w:hanging="567"/>
    </w:pPr>
  </w:style>
  <w:style w:type="character" w:styleId="Hyperlink">
    <w:name w:val="Hyperlink"/>
    <w:basedOn w:val="DefaultParagraphFont"/>
    <w:uiPriority w:val="99"/>
    <w:rsid w:val="00972B3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ft.dk/samling/20181/almdel/MOF/bilag/407/2016336.pdf" TargetMode="External"/><Relationship Id="rId3" Type="http://schemas.openxmlformats.org/officeDocument/2006/relationships/hyperlink" Target="https://echa.europa.eu/documents/10162/6d98baeb-24aa-a683-28ec-d8adabee5461" TargetMode="External"/><Relationship Id="rId7" Type="http://schemas.openxmlformats.org/officeDocument/2006/relationships/hyperlink" Target="https://doi.org/10.1128/AEM.02295-20" TargetMode="External"/><Relationship Id="rId2" Type="http://schemas.openxmlformats.org/officeDocument/2006/relationships/hyperlink" Target="https://doi.org/10.2903/j.efsa.2010.1897" TargetMode="External"/><Relationship Id="rId1" Type="http://schemas.openxmlformats.org/officeDocument/2006/relationships/hyperlink" Target="https://doi.org/10.2903/j.efsa.2021.6483" TargetMode="External"/><Relationship Id="rId6" Type="http://schemas.openxmlformats.org/officeDocument/2006/relationships/hyperlink" Target="https://doi.org/10.2903/j.efsa.2010.1932" TargetMode="External"/><Relationship Id="rId5" Type="http://schemas.openxmlformats.org/officeDocument/2006/relationships/hyperlink" Target="https://doi.org/10.3389/ftox.2022.883254" TargetMode="External"/><Relationship Id="rId10" Type="http://schemas.openxmlformats.org/officeDocument/2006/relationships/hyperlink" Target="https://ec.europa.eu/transparency/comitology-register/screen/documents/089880/5/consult?lang=en" TargetMode="External"/><Relationship Id="rId4" Type="http://schemas.openxmlformats.org/officeDocument/2006/relationships/hyperlink" Target="https://www.echa.europa.eu/substance-information/-/substanceinfo/100.130.443" TargetMode="External"/><Relationship Id="rId9" Type="http://schemas.openxmlformats.org/officeDocument/2006/relationships/hyperlink" Target="https://open.efsa.europa.eu/question/EFSA-Q-2022-000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CCD382-886E-4A16-9621-5542DFB143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1699</Words>
  <Characters>10492</Characters>
  <Application>Microsoft Office Word</Application>
  <DocSecurity>0</DocSecurity>
  <Lines>255</Lines>
  <Paragraphs>145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KRASTINA-DAMIANAKI Liga</cp:lastModifiedBy>
  <cp:revision>2</cp:revision>
  <cp:lastPrinted>2004-11-19T15:42:00Z</cp:lastPrinted>
  <dcterms:created xsi:type="dcterms:W3CDTF">2024-10-15T10:01:00Z</dcterms:created>
  <dcterms:modified xsi:type="dcterms:W3CDTF">2024-10-15T10:01:00Z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B10-0021/2024</vt:lpwstr>
  </property>
  <property fmtid="{D5CDD505-2E9C-101B-9397-08002B2CF9AE}" pid="4" name="&lt;Type&gt;">
    <vt:lpwstr>RR</vt:lpwstr>
  </property>
</Properties>
</file>