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60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6070" w:rsidRDefault="005251D5" w:rsidP="0010095E">
            <w:pPr>
              <w:pStyle w:val="EPName"/>
            </w:pPr>
            <w:r w:rsidRPr="00F06070">
              <w:t>Parlament Europejski</w:t>
            </w:r>
          </w:p>
          <w:p w:rsidR="00751A4A" w:rsidRPr="00F060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6070">
              <w:t>2024</w:t>
            </w:r>
            <w:r w:rsidR="00817416" w:rsidRPr="00F06070">
              <w:t>-202</w:t>
            </w:r>
            <w:r w:rsidRPr="00F0607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06070" w:rsidRDefault="00187494" w:rsidP="0010095E">
            <w:pPr>
              <w:pStyle w:val="EPLogo"/>
            </w:pPr>
            <w:r w:rsidRPr="00F060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6070" w:rsidRDefault="00D058B8" w:rsidP="004C5D52">
      <w:pPr>
        <w:pStyle w:val="LineTop"/>
      </w:pPr>
    </w:p>
    <w:p w:rsidR="00680577" w:rsidRPr="00F06070" w:rsidRDefault="005251D5" w:rsidP="00680577">
      <w:pPr>
        <w:pStyle w:val="EPBodyTA1"/>
      </w:pPr>
      <w:r w:rsidRPr="00F06070">
        <w:t>TEKSTY PRZYJĘTE</w:t>
      </w:r>
    </w:p>
    <w:p w:rsidR="00D058B8" w:rsidRPr="00F06070" w:rsidRDefault="00D058B8" w:rsidP="00D058B8">
      <w:pPr>
        <w:pStyle w:val="LineBottom"/>
      </w:pPr>
    </w:p>
    <w:p w:rsidR="005251D5" w:rsidRPr="00F06070" w:rsidRDefault="005251D5" w:rsidP="005251D5">
      <w:pPr>
        <w:pStyle w:val="ATHeading1"/>
      </w:pPr>
      <w:bookmarkStart w:id="0" w:name="TANumber"/>
      <w:r w:rsidRPr="00F06070">
        <w:t>P10_TA(2024)000</w:t>
      </w:r>
      <w:bookmarkEnd w:id="0"/>
      <w:r w:rsidR="00E54934">
        <w:t>7</w:t>
      </w:r>
    </w:p>
    <w:p w:rsidR="005251D5" w:rsidRPr="00F06070" w:rsidRDefault="002D581B" w:rsidP="005251D5">
      <w:pPr>
        <w:pStyle w:val="ATHeading2"/>
      </w:pPr>
      <w:bookmarkStart w:id="1" w:name="title"/>
      <w:r w:rsidRPr="00672BE6">
        <w:t>Sprzeciw wobec aktu wykonawczego:</w:t>
      </w:r>
      <w:r w:rsidR="005251D5" w:rsidRPr="00F06070">
        <w:t xml:space="preserve"> najwyższe dopuszczalne poziomy</w:t>
      </w:r>
      <w:r>
        <w:t xml:space="preserve"> </w:t>
      </w:r>
      <w:r w:rsidR="005251D5" w:rsidRPr="00F06070">
        <w:t xml:space="preserve">pozostałości </w:t>
      </w:r>
      <w:proofErr w:type="spellStart"/>
      <w:r w:rsidR="005251D5" w:rsidRPr="00F06070">
        <w:t>cyprokonazolu</w:t>
      </w:r>
      <w:bookmarkEnd w:id="1"/>
      <w:proofErr w:type="spellEnd"/>
    </w:p>
    <w:p w:rsidR="005251D5" w:rsidRPr="00F06070" w:rsidRDefault="005251D5" w:rsidP="005251D5">
      <w:pPr>
        <w:rPr>
          <w:i/>
          <w:vanish/>
        </w:rPr>
      </w:pPr>
      <w:r w:rsidRPr="00F06070">
        <w:rPr>
          <w:i/>
        </w:rPr>
        <w:fldChar w:fldCharType="begin"/>
      </w:r>
      <w:r w:rsidRPr="00F06070">
        <w:rPr>
          <w:i/>
        </w:rPr>
        <w:instrText xml:space="preserve"> TC"(</w:instrText>
      </w:r>
      <w:bookmarkStart w:id="2" w:name="DocNumber"/>
      <w:r w:rsidRPr="00F06070">
        <w:rPr>
          <w:i/>
        </w:rPr>
        <w:instrText>B10-0021/2024</w:instrText>
      </w:r>
      <w:bookmarkEnd w:id="2"/>
      <w:r w:rsidRPr="00F06070">
        <w:rPr>
          <w:i/>
        </w:rPr>
        <w:instrText xml:space="preserve">)"\l3 \n&gt; \* MERGEFORMAT </w:instrText>
      </w:r>
      <w:r w:rsidRPr="00F06070">
        <w:rPr>
          <w:i/>
        </w:rPr>
        <w:fldChar w:fldCharType="end"/>
      </w:r>
      <w:bookmarkStart w:id="3" w:name="_GoBack"/>
      <w:bookmarkEnd w:id="3"/>
    </w:p>
    <w:p w:rsidR="005251D5" w:rsidRPr="00F06070" w:rsidRDefault="005251D5" w:rsidP="005251D5">
      <w:pPr>
        <w:rPr>
          <w:vanish/>
        </w:rPr>
      </w:pPr>
      <w:bookmarkStart w:id="4" w:name="PE"/>
      <w:r w:rsidRPr="00F06070">
        <w:rPr>
          <w:vanish/>
        </w:rPr>
        <w:t>PE763.091</w:t>
      </w:r>
      <w:bookmarkEnd w:id="4"/>
    </w:p>
    <w:p w:rsidR="005251D5" w:rsidRPr="00F06070" w:rsidRDefault="005251D5" w:rsidP="005251D5">
      <w:pPr>
        <w:pStyle w:val="ATHeading3"/>
      </w:pPr>
      <w:bookmarkStart w:id="5" w:name="Sujet"/>
      <w:r w:rsidRPr="00F06070">
        <w:t xml:space="preserve">Rezolucja Parlamentu Europejskiego z dnia </w:t>
      </w:r>
      <w:r w:rsidR="002D581B">
        <w:t>18 września</w:t>
      </w:r>
      <w:r w:rsidRPr="00F06070">
        <w:t xml:space="preserve"> 2024 r. w sprawie projektu rozporządzenia Komisji zmieniającego załączniki II i III do rozporządzenia (WE) nr 396/2005 Parlamentu Europejskiego i Rady w odniesieniu do najwyższych dopuszczalnych poziomów pozostałości </w:t>
      </w:r>
      <w:proofErr w:type="spellStart"/>
      <w:r w:rsidRPr="00F06070">
        <w:t>cyprokonazolu</w:t>
      </w:r>
      <w:proofErr w:type="spellEnd"/>
      <w:r w:rsidRPr="00F06070">
        <w:t xml:space="preserve"> i </w:t>
      </w:r>
      <w:proofErr w:type="spellStart"/>
      <w:r w:rsidRPr="00F06070">
        <w:t>spirodiklofenu</w:t>
      </w:r>
      <w:proofErr w:type="spellEnd"/>
      <w:r w:rsidRPr="00F06070">
        <w:t xml:space="preserve"> w określonych produktach oraz na ich powierzchni</w:t>
      </w:r>
      <w:bookmarkEnd w:id="5"/>
      <w:r w:rsidRPr="00F06070">
        <w:t xml:space="preserve"> </w:t>
      </w:r>
      <w:bookmarkStart w:id="6" w:name="References"/>
      <w:r w:rsidRPr="00F06070">
        <w:t>(D091952/05 – 2024/2759(RPS))</w:t>
      </w:r>
      <w:bookmarkEnd w:id="6"/>
    </w:p>
    <w:p w:rsidR="00A06F0D" w:rsidRPr="00F06070" w:rsidRDefault="00A06F0D" w:rsidP="00A06F0D">
      <w:pPr>
        <w:pStyle w:val="EPComma"/>
      </w:pPr>
      <w:bookmarkStart w:id="7" w:name="TextBodyBegin"/>
      <w:bookmarkEnd w:id="7"/>
      <w:r w:rsidRPr="00F06070">
        <w:rPr>
          <w:i/>
        </w:rPr>
        <w:t>Parlament Europejski</w:t>
      </w:r>
      <w:r w:rsidRPr="00F06070">
        <w:t>,</w:t>
      </w:r>
    </w:p>
    <w:p w:rsidR="00A06F0D" w:rsidRPr="00F06070" w:rsidRDefault="00A06F0D" w:rsidP="00A06F0D">
      <w:pPr>
        <w:pStyle w:val="NormalHanging12a"/>
      </w:pPr>
      <w:r w:rsidRPr="00F06070">
        <w:t>–</w:t>
      </w:r>
      <w:r w:rsidRPr="00F06070">
        <w:tab/>
        <w:t xml:space="preserve">uwzględniając projekt rozporządzenia Komisji zmieniającego załączniki II i III do rozporządzenia (WE) nr 396/2005 Parlamentu Europejskiego i Rady w odniesieniu do najwyższych dopuszczalnych poziomów pozostałości </w:t>
      </w:r>
      <w:proofErr w:type="spellStart"/>
      <w:r w:rsidRPr="00F06070">
        <w:t>cyprokonazolu</w:t>
      </w:r>
      <w:proofErr w:type="spellEnd"/>
      <w:r w:rsidRPr="00F06070">
        <w:t xml:space="preserve"> i </w:t>
      </w:r>
      <w:proofErr w:type="spellStart"/>
      <w:r w:rsidRPr="00F06070">
        <w:t>spirodiklofenu</w:t>
      </w:r>
      <w:proofErr w:type="spellEnd"/>
      <w:r w:rsidRPr="00F06070">
        <w:t xml:space="preserve"> w określonych produktach oraz na ich powierzchni (D091952/05),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t>–</w:t>
      </w:r>
      <w:r w:rsidRPr="00F06070">
        <w:tab/>
        <w:t>uwzględniając rozporządzenie (WE) nr 396/2005 Parlamentu Europejskiego i Rady z dnia 23 lutego 2005 r. w sprawie najwyższych dopuszczalnych poziomów pozostałości pestycydów w żywności i paszy pochodzenia roślinnego i zwierzęcego oraz na ich powierzchni, zmieniające dyrektywę Rady 91/414/EWG</w:t>
      </w:r>
      <w:r w:rsidRPr="00F06070">
        <w:rPr>
          <w:rStyle w:val="FootnoteReference"/>
        </w:rPr>
        <w:footnoteReference w:id="1"/>
      </w:r>
      <w:r w:rsidRPr="00F06070">
        <w:t>, w szczególności jego art. 14 ust. 1 lit. a) i art. 49 ust. 2,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t>–</w:t>
      </w:r>
      <w:r w:rsidRPr="00F06070">
        <w:tab/>
        <w:t>uwzględniając rozporządzenie Parlamentu Europejskiego i Rady (WE) nr 1107/2009 z dnia 21 października 2009 r. dotyczące wprowadzania do obrotu środków ochrony roślin i uchylające dyrektywy Rady 79/117/EWG i 91/414/EWG</w:t>
      </w:r>
      <w:r w:rsidRPr="00F06070">
        <w:rPr>
          <w:rStyle w:val="FootnoteReference"/>
          <w:szCs w:val="24"/>
        </w:rPr>
        <w:footnoteReference w:id="2"/>
      </w:r>
      <w:r w:rsidRPr="00F06070">
        <w:t>, w szczególności jego art. 4 ust. 1, art. 4 ust. 2 akapit pierwszy lit. a) oraz pkt 3.6.4 załącznika II,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t>–</w:t>
      </w:r>
      <w:r w:rsidRPr="00F06070">
        <w:tab/>
        <w:t>uwzględniając rozporządzenie Parlamentu Europejskiego i Rady (WE) nr 178/2002 z dnia 28 stycznia 2002 r. ustanawiające ogólne zasady i wymagania prawa żywnościowego, powołujące Europejski Urząd ds. Bezpieczeństwa Żywności oraz ustanawiające procedury w zakresie bezpieczeństwa żywności</w:t>
      </w:r>
      <w:r w:rsidRPr="00F06070">
        <w:rPr>
          <w:rStyle w:val="FootnoteReference"/>
          <w:szCs w:val="24"/>
        </w:rPr>
        <w:footnoteReference w:id="3"/>
      </w:r>
      <w:r w:rsidRPr="00F06070">
        <w:t>, w szczególności jego art. 5 ust. 1,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lastRenderedPageBreak/>
        <w:t>–</w:t>
      </w:r>
      <w:r w:rsidRPr="00F06070">
        <w:tab/>
        <w:t>uwzględniając art. 11, 13, 168 i 191 Traktatu o funkcjonowaniu Unii Europejskiej (TFUE),</w:t>
      </w:r>
    </w:p>
    <w:p w:rsidR="00A06F0D" w:rsidRPr="00F06070" w:rsidRDefault="00A06F0D" w:rsidP="00A06F0D">
      <w:pPr>
        <w:pStyle w:val="NormalHanging12a"/>
      </w:pPr>
      <w:r w:rsidRPr="00F06070">
        <w:t>–</w:t>
      </w:r>
      <w:r w:rsidRPr="00F06070">
        <w:tab/>
        <w:t>uwzględniając uzasadnioną opinię Europejskiego Urzędu ds. Bezpieczeństwa Żywności (EFSA) z dnia 19 lutego 2021 r. opublikowaną dnia 22 marca 2021 r.</w:t>
      </w:r>
      <w:r w:rsidRPr="00F06070">
        <w:rPr>
          <w:rStyle w:val="FootnoteReference"/>
          <w:szCs w:val="24"/>
        </w:rPr>
        <w:footnoteReference w:id="4"/>
      </w:r>
      <w:r w:rsidRPr="00F06070">
        <w:t>,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t>–</w:t>
      </w:r>
      <w:r w:rsidRPr="00F06070">
        <w:tab/>
        <w:t>uwzględniając wnioski EFSA z wzajemnej weryfikacji oceny ryzyka stwarzanego przez pestycydy z dnia 8 listopada 2010 r., opublikowane w dniu 25 listopada 2010 r.</w:t>
      </w:r>
      <w:r w:rsidRPr="00F06070">
        <w:rPr>
          <w:rStyle w:val="FootnoteReference"/>
        </w:rPr>
        <w:footnoteReference w:id="5"/>
      </w:r>
      <w:r w:rsidRPr="00F06070">
        <w:t>,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t>–</w:t>
      </w:r>
      <w:r w:rsidRPr="00F06070">
        <w:tab/>
        <w:t>uwzględniając opinię przyjętą przez Komitet ds. Oceny Ryzyka (RAC) Europejskiej Agencji Chemikaliów w dniu 11 września 2015 r.</w:t>
      </w:r>
      <w:r w:rsidRPr="00F06070">
        <w:rPr>
          <w:rStyle w:val="FootnoteReference"/>
          <w:szCs w:val="24"/>
        </w:rPr>
        <w:footnoteReference w:id="6"/>
      </w:r>
      <w:r w:rsidRPr="00F06070">
        <w:t>,</w:t>
      </w:r>
    </w:p>
    <w:p w:rsidR="00A06F0D" w:rsidRPr="00F06070" w:rsidRDefault="00A06F0D" w:rsidP="00A06F0D">
      <w:pPr>
        <w:pStyle w:val="NormalHanging12a"/>
      </w:pPr>
      <w:r w:rsidRPr="00F06070">
        <w:t>–</w:t>
      </w:r>
      <w:r w:rsidRPr="00F06070">
        <w:tab/>
        <w:t>uwzględniając art. 5a ust. 3 lit. b) i art. 5a ust. 5 decyzji Rady 1999/468/WE z dnia 28 czerwca 1999 r. ustanawiającej warunki wykonywania uprawnień wykonawczych przyznanych Komisji</w:t>
      </w:r>
      <w:r w:rsidRPr="00F06070">
        <w:rPr>
          <w:rStyle w:val="FootnoteReference"/>
        </w:rPr>
        <w:footnoteReference w:id="7"/>
      </w:r>
      <w:r w:rsidRPr="00F06070">
        <w:t>,</w:t>
      </w:r>
    </w:p>
    <w:p w:rsidR="00A06F0D" w:rsidRPr="00F06070" w:rsidRDefault="00A06F0D" w:rsidP="00A06F0D">
      <w:pPr>
        <w:pStyle w:val="NormalHanging12a"/>
      </w:pPr>
      <w:r w:rsidRPr="00F06070">
        <w:t>–</w:t>
      </w:r>
      <w:r w:rsidRPr="00F06070">
        <w:tab/>
        <w:t>uwzględniając art. 115 ust. 2 i 3 oraz ust. 4 lit. c) Regulaminu,</w:t>
      </w:r>
    </w:p>
    <w:p w:rsidR="00A06F0D" w:rsidRPr="00F06070" w:rsidRDefault="00A06F0D" w:rsidP="00A06F0D">
      <w:pPr>
        <w:pStyle w:val="NormalHanging12a"/>
      </w:pPr>
      <w:r w:rsidRPr="00F06070">
        <w:t>–</w:t>
      </w:r>
      <w:r w:rsidRPr="00F06070">
        <w:tab/>
        <w:t>uwzględniając projekt rezolucji Komisji Ochrony Środowiska Naturalnego, Zdrowia Publicznego i Bezpieczeństwa Żywności,</w:t>
      </w:r>
    </w:p>
    <w:p w:rsidR="00A06F0D" w:rsidRPr="00F06070" w:rsidRDefault="00A06F0D" w:rsidP="00A06F0D">
      <w:pPr>
        <w:pStyle w:val="NormalHanging12a"/>
      </w:pPr>
      <w:r w:rsidRPr="00F06070">
        <w:t>A.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jednym z głównych postulatów rolników protestujących w pierwszej połowie 2024 r. było sprawiedliwe i równe traktowanie produktów przywożonych z państw trzecich, które powinny być zgodne z tymi samymi normami co produkty wytwarzane w Unii;</w:t>
      </w:r>
    </w:p>
    <w:p w:rsidR="00A06F0D" w:rsidRPr="00F06070" w:rsidRDefault="00A06F0D" w:rsidP="00A06F0D">
      <w:pPr>
        <w:pStyle w:val="NormalHanging12a"/>
      </w:pPr>
      <w:r w:rsidRPr="00F06070">
        <w:t>B.</w:t>
      </w:r>
      <w:r w:rsidRPr="00F06070">
        <w:tab/>
        <w:t>mając na uwadze, że przyjęcie projektu rozporządzenia Komisji oznaczałoby, że do Unii będzie można wciąż przywozić produkty niezgodne z normami, których przestrzegają unijni rolnicy;</w:t>
      </w:r>
    </w:p>
    <w:p w:rsidR="00A06F0D" w:rsidRPr="00F06070" w:rsidRDefault="00A06F0D" w:rsidP="00A06F0D">
      <w:pPr>
        <w:pStyle w:val="NormalHanging12a"/>
      </w:pPr>
      <w:r w:rsidRPr="00F06070">
        <w:t>C.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postawiłoby to unijnych rolników w niekorzystnej sytuacji konkurencyjnej;</w:t>
      </w:r>
    </w:p>
    <w:p w:rsidR="00A06F0D" w:rsidRPr="00F06070" w:rsidRDefault="00A06F0D" w:rsidP="00A06F0D">
      <w:pPr>
        <w:pStyle w:val="NormalHanging12a"/>
      </w:pPr>
      <w:r w:rsidRPr="00F06070">
        <w:t>D.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</w:t>
      </w:r>
      <w:proofErr w:type="spellStart"/>
      <w:r w:rsidRPr="00F06070">
        <w:t>cyprokonazol</w:t>
      </w:r>
      <w:proofErr w:type="spellEnd"/>
      <w:r w:rsidRPr="00F06070">
        <w:t xml:space="preserve"> jest fungicydem z klasy </w:t>
      </w:r>
      <w:proofErr w:type="spellStart"/>
      <w:r w:rsidRPr="00F06070">
        <w:t>azoli</w:t>
      </w:r>
      <w:proofErr w:type="spellEnd"/>
      <w:r w:rsidRPr="00F06070">
        <w:t>, stosowanym głównie w uprawach zbóż, kawy, buraków cukrowych, jabłek i winogron oraz orzeszków ziemnych;</w:t>
      </w:r>
    </w:p>
    <w:p w:rsidR="00A06F0D" w:rsidRPr="00F06070" w:rsidRDefault="00A06F0D" w:rsidP="00A06F0D">
      <w:pPr>
        <w:pStyle w:val="NormalHanging12a"/>
      </w:pPr>
      <w:r w:rsidRPr="00F06070">
        <w:t>E.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zatwierdzenie substancji czynnej </w:t>
      </w:r>
      <w:proofErr w:type="spellStart"/>
      <w:r w:rsidRPr="00F06070">
        <w:t>cyprokonazol</w:t>
      </w:r>
      <w:proofErr w:type="spellEnd"/>
      <w:r w:rsidRPr="00F06070">
        <w:t xml:space="preserve"> wygasło w dniu 31 maja 2021 r.; mając na uwadze, że we wrześniu 2018 r. złożono wniosek </w:t>
      </w:r>
      <w:r w:rsidRPr="00F06070">
        <w:lastRenderedPageBreak/>
        <w:t xml:space="preserve">o przedłużenie, ale wycofano go w grudniu 2018 r.; mając na uwadze, że wszystkie zezwolenia dotyczące środków ochrony roślin zawierających </w:t>
      </w:r>
      <w:proofErr w:type="spellStart"/>
      <w:r w:rsidRPr="00F06070">
        <w:t>cyprokonazol</w:t>
      </w:r>
      <w:proofErr w:type="spellEnd"/>
      <w:r w:rsidRPr="00F06070">
        <w:t xml:space="preserve"> zostały cofnięte;</w:t>
      </w:r>
    </w:p>
    <w:p w:rsidR="00A06F0D" w:rsidRPr="00F06070" w:rsidRDefault="00A06F0D" w:rsidP="00A06F0D">
      <w:pPr>
        <w:pStyle w:val="NormalHanging12a"/>
      </w:pPr>
      <w:r w:rsidRPr="00F06070">
        <w:t>F.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</w:t>
      </w:r>
      <w:proofErr w:type="spellStart"/>
      <w:r w:rsidRPr="00F06070">
        <w:t>cyprokonazol</w:t>
      </w:r>
      <w:proofErr w:type="spellEnd"/>
      <w:r w:rsidRPr="00F06070">
        <w:t xml:space="preserve"> jest sklasyfikowany zgodnie z rozporządzeniem Parlamentu Europejskiego i Rady (WE) nr 1272/2008</w:t>
      </w:r>
      <w:r w:rsidRPr="00F06070">
        <w:rPr>
          <w:rStyle w:val="FootnoteReference"/>
        </w:rPr>
        <w:footnoteReference w:id="8"/>
      </w:r>
      <w:r w:rsidRPr="00F06070">
        <w:t xml:space="preserve"> jako substancja działająca szkodliwie na rozrodczość kategorii 1B, działająca toksycznie po połknięciu (toksyczność ostra 3), działająca toksycznie na wątrobę (STOT RE 2), a także działająca bardzo toksycznie na organizmy wodne (toksyczność ostra 1) i działająca bardzo toksycznie na organizmy wodne i powodująca długotrwałe skutki (substancja przewlekle toksyczna dla organizmów wodnych kategorii 1)</w:t>
      </w:r>
      <w:r w:rsidRPr="00F06070">
        <w:rPr>
          <w:rStyle w:val="FootnoteReference"/>
        </w:rPr>
        <w:footnoteReference w:id="9"/>
      </w:r>
      <w:r w:rsidRPr="00F06070">
        <w:t>;</w:t>
      </w:r>
    </w:p>
    <w:p w:rsidR="00A06F0D" w:rsidRPr="00F06070" w:rsidRDefault="00A06F0D" w:rsidP="00A06F0D">
      <w:pPr>
        <w:pStyle w:val="NormalHanging12a"/>
      </w:pPr>
      <w:r w:rsidRPr="00F06070">
        <w:t>G.</w:t>
      </w:r>
      <w:r w:rsidRPr="00F06070">
        <w:tab/>
        <w:t xml:space="preserve">mając na uwadze, że </w:t>
      </w:r>
      <w:proofErr w:type="spellStart"/>
      <w:r w:rsidRPr="00F06070">
        <w:t>cyprokonazol</w:t>
      </w:r>
      <w:proofErr w:type="spellEnd"/>
      <w:r w:rsidRPr="00F06070">
        <w:t xml:space="preserve"> należy do </w:t>
      </w:r>
      <w:proofErr w:type="spellStart"/>
      <w:r w:rsidRPr="00F06070">
        <w:t>triazolowej</w:t>
      </w:r>
      <w:proofErr w:type="spellEnd"/>
      <w:r w:rsidRPr="00F06070">
        <w:t xml:space="preserve"> grupy inhibitorów biosyntezy ergosterolu, a zatem może powodować zaburzenia funkcjonowania układu hormonalnego</w:t>
      </w:r>
      <w:r w:rsidRPr="00F06070">
        <w:rPr>
          <w:rStyle w:val="FootnoteReference"/>
        </w:rPr>
        <w:footnoteReference w:id="10"/>
      </w:r>
      <w:r w:rsidRPr="00F06070">
        <w:t>; mając na uwadze, że jego potencjał zaburzania funkcjonowania układu hormonalnego nie został oceniony przez EFSA zgodnie z naukowymi kryteriami określania właściwości zaburzających funkcjonowanie układu hormonalnego określonymi w rozporządzeniu Komisji (UE) 2018/605</w:t>
      </w:r>
      <w:r w:rsidRPr="00F06070">
        <w:rPr>
          <w:rStyle w:val="FootnoteReference"/>
        </w:rPr>
        <w:footnoteReference w:id="11"/>
      </w:r>
      <w:r w:rsidRPr="00F06070">
        <w:t>, które ma zastosowanie od dnia 10 listopada 2018 r.; mając na uwadze, że zaburzenia funkcjonowania układu hormonalnego często występują przy niskich dawkach, a substancje zaburzające funkcjonowanie układu hormonalnego często nie mają bezpiecznego progu</w:t>
      </w:r>
      <w:r w:rsidRPr="00F06070">
        <w:rPr>
          <w:rStyle w:val="FootnoteReference"/>
        </w:rPr>
        <w:footnoteReference w:id="12"/>
      </w:r>
      <w:r w:rsidRPr="00F06070">
        <w:t>;</w:t>
      </w:r>
    </w:p>
    <w:p w:rsidR="00A06F0D" w:rsidRPr="00F06070" w:rsidRDefault="00A06F0D" w:rsidP="00A06F0D">
      <w:pPr>
        <w:pStyle w:val="NormalHanging12a"/>
      </w:pPr>
      <w:r w:rsidRPr="00F06070">
        <w:t>H.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w coraz większej liczbie publikacji podkreśla się, że fungicydy </w:t>
      </w:r>
      <w:proofErr w:type="spellStart"/>
      <w:r w:rsidRPr="00F06070">
        <w:t>azolowe</w:t>
      </w:r>
      <w:proofErr w:type="spellEnd"/>
      <w:r w:rsidRPr="00F06070">
        <w:t xml:space="preserve"> stanowią istotne źródło coraz częstszego występowania oporności </w:t>
      </w:r>
      <w:r w:rsidRPr="00F06070">
        <w:lastRenderedPageBreak/>
        <w:t xml:space="preserve">środowiskowej na </w:t>
      </w:r>
      <w:r w:rsidRPr="00F06070">
        <w:rPr>
          <w:i/>
          <w:iCs/>
        </w:rPr>
        <w:t xml:space="preserve">Aspergillus </w:t>
      </w:r>
      <w:proofErr w:type="spellStart"/>
      <w:r w:rsidRPr="00F06070">
        <w:rPr>
          <w:i/>
          <w:iCs/>
        </w:rPr>
        <w:t>spp</w:t>
      </w:r>
      <w:proofErr w:type="spellEnd"/>
      <w:r w:rsidRPr="00F06070">
        <w:rPr>
          <w:rStyle w:val="FootnoteReference"/>
        </w:rPr>
        <w:footnoteReference w:id="13"/>
      </w:r>
      <w:r w:rsidRPr="00F06070">
        <w:t xml:space="preserve">; mając na uwadze, że Komisja zwróciła się do EFSA o ocenę wpływu stosowania fungicydów </w:t>
      </w:r>
      <w:proofErr w:type="spellStart"/>
      <w:r w:rsidRPr="00F06070">
        <w:t>azolowych</w:t>
      </w:r>
      <w:proofErr w:type="spellEnd"/>
      <w:r w:rsidRPr="00F06070">
        <w:t xml:space="preserve">, innych niż leki stosowane u ludzi, na rozwój opornych na </w:t>
      </w:r>
      <w:proofErr w:type="spellStart"/>
      <w:r w:rsidRPr="00F06070">
        <w:t>azole</w:t>
      </w:r>
      <w:proofErr w:type="spellEnd"/>
      <w:r w:rsidRPr="00F06070">
        <w:t xml:space="preserve"> </w:t>
      </w:r>
      <w:r w:rsidRPr="00F06070">
        <w:rPr>
          <w:i/>
          <w:iCs/>
        </w:rPr>
        <w:t xml:space="preserve">Aspergillus </w:t>
      </w:r>
      <w:proofErr w:type="spellStart"/>
      <w:r w:rsidRPr="00F06070">
        <w:rPr>
          <w:i/>
          <w:iCs/>
        </w:rPr>
        <w:t>spp</w:t>
      </w:r>
      <w:proofErr w:type="spellEnd"/>
      <w:r w:rsidRPr="00F06070">
        <w:t>; mając na uwadze, że sprawozdanie naukowe, o które się zwrócono, nie zostało jeszcze opublikowane i oczekuje się, że zostanie ukończone dopiero w grudniu 2024 r.</w:t>
      </w:r>
      <w:r w:rsidRPr="00F06070">
        <w:rPr>
          <w:rStyle w:val="FootnoteReference"/>
        </w:rPr>
        <w:footnoteReference w:id="14"/>
      </w:r>
      <w:r w:rsidRPr="00F06070">
        <w:t>;</w:t>
      </w:r>
    </w:p>
    <w:p w:rsidR="00A06F0D" w:rsidRPr="00F06070" w:rsidRDefault="00A06F0D" w:rsidP="00A06F0D">
      <w:pPr>
        <w:pStyle w:val="NormalHanging12a"/>
      </w:pPr>
      <w:r w:rsidRPr="00F06070">
        <w:rPr>
          <w:color w:val="000000" w:themeColor="text1"/>
        </w:rPr>
        <w:t>I.</w:t>
      </w:r>
      <w:r w:rsidRPr="00F06070">
        <w:rPr>
          <w:color w:val="000000" w:themeColor="text1"/>
        </w:rPr>
        <w:tab/>
      </w:r>
      <w:proofErr w:type="gramStart"/>
      <w:r w:rsidRPr="00F06070">
        <w:t>mając</w:t>
      </w:r>
      <w:proofErr w:type="gramEnd"/>
      <w:r w:rsidRPr="00F06070">
        <w:t xml:space="preserve"> na uwadze, że w związku z tym należy usunąć istniejące najwyższe dopuszczalne poziomy pozostałości (NDP) określone dla </w:t>
      </w:r>
      <w:proofErr w:type="spellStart"/>
      <w:r w:rsidRPr="00F06070">
        <w:t>cyprokonazolu</w:t>
      </w:r>
      <w:proofErr w:type="spellEnd"/>
      <w:r w:rsidRPr="00F06070">
        <w:t xml:space="preserve"> w załączniku II do rozporządzenia (WE) nr 396/2005 zgodnie z art. 17 tego rozporządzenia, zgodnie z którym Komisja usuwa NDP określone w załącznikach II i III do tego rozporządzenia do wartości wzorcowej 0,01 mg/kg lub odpowiedniej granicy oznaczalności bez zwracania się o opinię EFSA w odniesieniu do substancji czynnej, jeżeli jej zezwolenie zostało cofnięte;</w:t>
      </w:r>
    </w:p>
    <w:p w:rsidR="00A06F0D" w:rsidRPr="00F06070" w:rsidRDefault="00A06F0D" w:rsidP="00A06F0D">
      <w:pPr>
        <w:pStyle w:val="NormalHanging12a"/>
      </w:pPr>
      <w:r w:rsidRPr="00F06070">
        <w:t>J.</w:t>
      </w:r>
      <w:r w:rsidRPr="00F06070">
        <w:tab/>
        <w:t>mając na uwadze, że w projekcie rozporządzenia Komisja proponuje jednak utrzymanie NDP dla dużej ilości produktów (zboża, nasiona, mięso, wątroba i nerki) powyżej odpowiedniej granicy oznaczalności lub domyślnej wartości NDP wynoszącej 0,01 mg/kg w oparciu o NDP ustanowione przez Komisję Kodeksu Żywnościowego (CXL);</w:t>
      </w:r>
    </w:p>
    <w:p w:rsidR="00A06F0D" w:rsidRPr="00F06070" w:rsidRDefault="00A06F0D" w:rsidP="00A06F0D">
      <w:pPr>
        <w:pStyle w:val="NormalHanging12a"/>
      </w:pPr>
      <w:r w:rsidRPr="00F06070">
        <w:t>K.</w:t>
      </w:r>
      <w:r w:rsidRPr="00F06070">
        <w:tab/>
      </w:r>
      <w:r w:rsidRPr="00F06070">
        <w:rPr>
          <w:color w:val="000000" w:themeColor="text1"/>
        </w:rPr>
        <w:t xml:space="preserve">mając na uwadze, że Komisja proponuje ustalenie NDP na poziomie CXL dla grochu (bez strąków), fasoli, grochu, jęczmienia, gryki zwyczajnej i pozostałych zbóż rzekomych, kukurydzy, prosa zwyczajnego, owsa, żyta, pszenicy, ziaren kawy i korzeni buraka cukrowego, mięśni i tłuszczu </w:t>
      </w:r>
      <w:proofErr w:type="gramStart"/>
      <w:r w:rsidRPr="00F06070">
        <w:rPr>
          <w:color w:val="000000" w:themeColor="text1"/>
        </w:rPr>
        <w:t>świń</w:t>
      </w:r>
      <w:proofErr w:type="gramEnd"/>
      <w:r w:rsidRPr="00F06070">
        <w:rPr>
          <w:color w:val="000000" w:themeColor="text1"/>
        </w:rPr>
        <w:t xml:space="preserve">, bydła, owiec, kóz i koni oraz mięśni, tłuszczu i wątroby drobiu, mleka bydła, owiec, kóz i koni oraz jaj ptasich; mając na uwadze, że oznacza to, iż NDP dla wątroby i nerek świń, bydła, owiec, kóz i koni zostaną utrzymane na dotychczasowym poziomie 0,5 mg/kg, dla nasion rzepaku na poziomie 0,4 mg/kg, a dla soi na poziomie 0,07 mg/kg; </w:t>
      </w:r>
      <w:proofErr w:type="gramStart"/>
      <w:r w:rsidRPr="00F06070">
        <w:rPr>
          <w:color w:val="000000" w:themeColor="text1"/>
        </w:rPr>
        <w:t>mając</w:t>
      </w:r>
      <w:proofErr w:type="gramEnd"/>
      <w:r w:rsidRPr="00F06070">
        <w:rPr>
          <w:color w:val="000000" w:themeColor="text1"/>
        </w:rPr>
        <w:t xml:space="preserve"> na uwadze, że dla wszystkich innych produktów, dla których nie ma CXL ani tolerancji importowych, NDP są obniżone do limitów oznaczania dla poszczególnych produktów, wahających się od 0,01 do 0,05 mg/kg;</w:t>
      </w:r>
    </w:p>
    <w:p w:rsidR="00A06F0D" w:rsidRPr="00F06070" w:rsidRDefault="00A06F0D" w:rsidP="00A06F0D">
      <w:pPr>
        <w:pStyle w:val="NormalHanging12a"/>
      </w:pPr>
      <w:r w:rsidRPr="00F06070">
        <w:t>L.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w 2024 r. Komisja obniżyła NDP dla </w:t>
      </w:r>
      <w:proofErr w:type="spellStart"/>
      <w:r w:rsidRPr="00F06070">
        <w:t>tiakloprydu</w:t>
      </w:r>
      <w:proofErr w:type="spellEnd"/>
      <w:r w:rsidRPr="00F06070">
        <w:t xml:space="preserve">, substancji czynnej sklasyfikowanej jako działająca szkodliwie na rozrodczość kategorii 1B, do odpowiedniej granicy oznaczalności, argumentując, że „w oczekiwaniu na tę dodatkową ocenę ryzyka [dotyczącą zaburzeń funkcjonowania układu hormonalnego] przeprowadzoną przez Urząd oraz biorąc pod uwagę dostępne istotne informacje dotyczące potencjalnie szkodliwego wpływu na zdrowie ludzi, należy tymczasowo </w:t>
      </w:r>
      <w:r w:rsidRPr="00F06070">
        <w:lastRenderedPageBreak/>
        <w:t>obniżyć NDP ... [</w:t>
      </w:r>
      <w:proofErr w:type="gramStart"/>
      <w:r w:rsidRPr="00F06070">
        <w:t>dla</w:t>
      </w:r>
      <w:proofErr w:type="gramEnd"/>
      <w:r w:rsidRPr="00F06070">
        <w:t xml:space="preserve"> tych produktów]”</w:t>
      </w:r>
      <w:r w:rsidRPr="00F06070">
        <w:rPr>
          <w:rStyle w:val="FootnoteReference"/>
        </w:rPr>
        <w:footnoteReference w:id="15"/>
      </w:r>
      <w:r w:rsidRPr="00F06070">
        <w:t>;</w:t>
      </w:r>
    </w:p>
    <w:p w:rsidR="00A06F0D" w:rsidRPr="00F06070" w:rsidRDefault="00A06F0D" w:rsidP="00A06F0D">
      <w:pPr>
        <w:pStyle w:val="NormalHanging12a"/>
      </w:pPr>
      <w:r w:rsidRPr="00F06070">
        <w:t>M.</w:t>
      </w:r>
      <w:r w:rsidRPr="00F06070">
        <w:tab/>
        <w:t xml:space="preserve">mając na uwadze, że zgodnie z motywem 5 rozporządzenia (WE) nr 396/2005 pozostałości nie powinny występować w ilościach, które stanowią niedopuszczalne ryzyko dla ludzi oraz, w stosownych przypadkach, dla zwierząt; </w:t>
      </w:r>
    </w:p>
    <w:p w:rsidR="00A06F0D" w:rsidRPr="00F06070" w:rsidRDefault="00A06F0D" w:rsidP="00A06F0D">
      <w:pPr>
        <w:pStyle w:val="NormalHanging12a"/>
      </w:pPr>
      <w:r w:rsidRPr="00F06070">
        <w:t>N.</w:t>
      </w:r>
      <w:r w:rsidRPr="00F06070">
        <w:tab/>
        <w:t xml:space="preserve">mając na uwadze, że zgodnie z art. 4 ust. 2 akapit pierwszy lit. a) rozporządzenia (WE) nr 1107/2009 pozostałości środków ochrony roślin nie mogą mieć szkodliwego wpływu na zdrowie ludzi, w tym grup szczególnie wrażliwych, lub na zdrowie zwierząt, z uwzględnieniem znanego wpływu w postaci kumulacji w organizmie i działania synergicznego; mając na uwadze, że zgodnie z pkt 3.6.4 załącznika II do tego rozporządzenia substancja czynna sklasyfikowana na mocy rozporządzenia (WE) nr 1272/2008 jako działająca toksycznie na rozrodczość kategorii 1A lub 1B nie może zostać zatwierdzona, chyba że „pozostałości substancji czynnej [...] </w:t>
      </w:r>
      <w:proofErr w:type="gramStart"/>
      <w:r w:rsidRPr="00F06070">
        <w:t>w</w:t>
      </w:r>
      <w:proofErr w:type="gramEnd"/>
      <w:r w:rsidRPr="00F06070">
        <w:t xml:space="preserve"> żywności lub paszach nie przekraczają wartości wzorcowej określonej zgodnie z art. 18 ust. 1 lit. b) rozporządzenia (WE) nr 396/2005”; mając na uwadze, że w art. 18 ust. 1 lit. b) rozporządzenia (WE) nr 396/2005 wartość wzorcową ustalono na poziomie 0,01 mg/kg;</w:t>
      </w:r>
    </w:p>
    <w:p w:rsidR="00A06F0D" w:rsidRPr="00F06070" w:rsidRDefault="00A06F0D" w:rsidP="00A06F0D">
      <w:pPr>
        <w:pStyle w:val="NormalHanging12a"/>
      </w:pPr>
      <w:r w:rsidRPr="00F06070">
        <w:t>O.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zgodnie z art. 3 ust. 2 lit. g) rozporządzenia (WE) nr 396/2005 tolerancja importowa to NDP ustalone dla środków wwożonych, jeżeli „stosowanie danej substancji czynnej w środku ochrony roślin na danym produkcie jest niedozwolone we Wspólnocie z przyczyn innych niż ochrona zdrowia publicznego w odniesieniu do konkretnego produktu i konkretnego użycia”; mając na uwadze, że </w:t>
      </w:r>
      <w:proofErr w:type="spellStart"/>
      <w:r w:rsidRPr="00F06070">
        <w:t>cyprokonazol</w:t>
      </w:r>
      <w:proofErr w:type="spellEnd"/>
      <w:r w:rsidRPr="00F06070">
        <w:t xml:space="preserve"> nie spełnia tych kryteriów, ponieważ został sklasyfikowany jako substancja działająca toksycznie na rozrodczość kategorii 1B i w związku z tym zakazany ze względów zdrowotnych;</w:t>
      </w:r>
    </w:p>
    <w:p w:rsidR="00A06F0D" w:rsidRPr="00F06070" w:rsidRDefault="00A06F0D" w:rsidP="00A06F0D">
      <w:pPr>
        <w:pStyle w:val="NormalHanging12a"/>
      </w:pPr>
      <w:r w:rsidRPr="00F06070">
        <w:t>P.</w:t>
      </w:r>
      <w:r w:rsidRPr="00F06070">
        <w:tab/>
        <w:t>mając na uwadze, że zgodnie z art. 5 ust. 1 rozporządzenia (WE) nr 178/2002 prawo żywnościowe służy realizacji co najmniej jednego z ogólnych celów dotyczących wysokiego poziomu ochrony zdrowia i życia ludzi oraz ochrony interesów konsumentów, z uwzględnieniem uczciwych praktyk w handlu żywnością, biorąc w stosownych przypadkach pod uwagę ochronę zdrowia i warunków życia zwierząt, zdrowia roślin i środowiska naturalnego;</w:t>
      </w:r>
    </w:p>
    <w:p w:rsidR="00A06F0D" w:rsidRPr="00F06070" w:rsidRDefault="00A06F0D" w:rsidP="00A06F0D">
      <w:pPr>
        <w:pStyle w:val="NormalHanging12a"/>
      </w:pPr>
      <w:r w:rsidRPr="00F06070">
        <w:t>Q.</w:t>
      </w:r>
      <w:r w:rsidRPr="00F06070">
        <w:tab/>
        <w:t>mając na uwadze, że w komunikacie z 20 maja 2020 r. pt. „Strategia »od pola do stołu« na rzecz sprawiedliwego, zdrowego i przyjaznego dla środowiska systemu żywnościowego”</w:t>
      </w:r>
      <w:r w:rsidRPr="00F06070">
        <w:rPr>
          <w:rStyle w:val="FootnoteReference"/>
        </w:rPr>
        <w:footnoteReference w:id="16"/>
      </w:r>
      <w:r w:rsidRPr="00F06070">
        <w:t xml:space="preserve"> Komisja stwierdziła, że „UE będzie wspierać globalną transformację w kierunku zrównoważonych systemów rolno-spożywczych – zgodnie z celami tej strategii i celami zrównoważonego rozwoju” oraz że „UE może odegrać kluczową rolę w ustanawianiu globalnych standardów dzięki [tej] strategii”; mając na uwadze, że Komisja wyraźnie stwierdziła w tej strategii, że „[b</w:t>
      </w:r>
      <w:proofErr w:type="gramStart"/>
      <w:r w:rsidRPr="00F06070">
        <w:t>]</w:t>
      </w:r>
      <w:proofErr w:type="spellStart"/>
      <w:r w:rsidRPr="00F06070">
        <w:t>ardziej</w:t>
      </w:r>
      <w:proofErr w:type="spellEnd"/>
      <w:proofErr w:type="gramEnd"/>
      <w:r w:rsidRPr="00F06070">
        <w:t xml:space="preserve"> zrównoważony system żywnościowy UE wymaga również coraz bardziej zrównoważonych praktyk ze strony naszych partnerów handlowych. W celu wsparcia stopniowego przejścia na stosowanie bezpieczniejszych środków ochrony roślin UE rozważy, zgodnie z zasadami WTO i po dokonaniu oceny ryzyka, przegląd tolerancji importowych w odniesieniu do substancji spełniających »kryteria graniczne« i wykazujących wysoki poziom ryzyka dla zdrowia </w:t>
      </w:r>
      <w:r w:rsidRPr="00F06070">
        <w:lastRenderedPageBreak/>
        <w:t>ludzi.”;</w:t>
      </w:r>
    </w:p>
    <w:p w:rsidR="00A06F0D" w:rsidRPr="00F06070" w:rsidRDefault="00A06F0D" w:rsidP="00A06F0D">
      <w:pPr>
        <w:pStyle w:val="NormalHanging12a"/>
      </w:pPr>
      <w:r w:rsidRPr="00F06070">
        <w:t>R.</w:t>
      </w:r>
      <w:r w:rsidRPr="00F06070">
        <w:tab/>
        <w:t xml:space="preserve">mając na uwadze, że praktyka ustalania wysokich NDP stwarza podwójne standardy dla rolników unijnych i rolników w państwach trzecich, ponieważ rolnicy spoza Unii mogą nadal produkować przedmiotową żywność przy użyciu </w:t>
      </w:r>
      <w:proofErr w:type="spellStart"/>
      <w:r w:rsidRPr="00F06070">
        <w:t>cyprokonazolu</w:t>
      </w:r>
      <w:proofErr w:type="spellEnd"/>
      <w:r w:rsidRPr="00F06070">
        <w:t xml:space="preserve"> i eksportować ją do Unii, co stawia rolników unijnych w niekorzystnej sytuacji konkurencyjnej; z drugiej strony mając na uwadze, że stosowanie tego pestycydu zagraża zdrowiu pracowników rolnych, zdrowiu ludności i środowisku w krajach produkujących;</w:t>
      </w:r>
    </w:p>
    <w:p w:rsidR="00A06F0D" w:rsidRPr="00F06070" w:rsidRDefault="00A06F0D" w:rsidP="00A06F0D">
      <w:pPr>
        <w:pStyle w:val="NormalHanging12a"/>
      </w:pPr>
      <w:r w:rsidRPr="00F06070">
        <w:t>S.</w:t>
      </w:r>
      <w:r w:rsidRPr="00F06070">
        <w:tab/>
        <w:t>mając na uwadze, że w art. 191 ust. 2 TFUE uznano zasadę ostrożności za jedną z podstawowych zasad Unii;</w:t>
      </w:r>
    </w:p>
    <w:p w:rsidR="00A06F0D" w:rsidRPr="00F06070" w:rsidRDefault="00A06F0D" w:rsidP="00A06F0D">
      <w:pPr>
        <w:pStyle w:val="NormalHanging12a"/>
      </w:pPr>
      <w:r w:rsidRPr="00F06070">
        <w:t>T.</w:t>
      </w:r>
      <w:r w:rsidRPr="00F06070">
        <w:tab/>
        <w:t>mając na uwadze, że Komisja powinna chronić środowisko i europejskich obywateli, opierając się na dostępnych informacjach naukowych i korzystając z obowiązków i możliwości prawnych przewidzianych w rozporządzeniach (WE) nr 396/2005 i (WE) nr 178/2002 w celu zapewnienia wysokiego poziomu ochrony zdrowia ludzi i zwierząt oraz środowiska;</w:t>
      </w:r>
    </w:p>
    <w:p w:rsidR="00A06F0D" w:rsidRPr="00F06070" w:rsidRDefault="00A06F0D" w:rsidP="00A06F0D">
      <w:pPr>
        <w:pStyle w:val="NormalHanging12a"/>
      </w:pPr>
      <w:r w:rsidRPr="00F06070">
        <w:t>U.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proponowane NDP nie chronią zdrowia obywateli w Europie, a zatem są sprzeczne z rozporządzeniami (WE) nr 396/2005 i (WE) nr 178/2002;</w:t>
      </w:r>
    </w:p>
    <w:p w:rsidR="00A06F0D" w:rsidRPr="00F06070" w:rsidRDefault="00A06F0D" w:rsidP="00A06F0D">
      <w:pPr>
        <w:pStyle w:val="NormalHanging12a"/>
      </w:pPr>
      <w:r w:rsidRPr="00F06070">
        <w:t>V.</w:t>
      </w:r>
      <w:r w:rsidRPr="00F06070">
        <w:tab/>
      </w:r>
      <w:proofErr w:type="gramStart"/>
      <w:r w:rsidRPr="00F06070">
        <w:t>mając</w:t>
      </w:r>
      <w:proofErr w:type="gramEnd"/>
      <w:r w:rsidRPr="00F06070">
        <w:t xml:space="preserve"> na uwadze, że nie należy określać NDP dla substancji czynnych, które z obawy o kwestie zdrowotne nie zostały w Unii zatwierdzone; mając na uwadze, że w związku z tym żaden CXL przekraczający odpowiednią granicę oznaczalności lub wartość domyślną 0,01mg/kg nie powinien być uważany za bezpieczny dla konsumentów, ponieważ </w:t>
      </w:r>
      <w:proofErr w:type="spellStart"/>
      <w:r w:rsidRPr="00F06070">
        <w:t>cyprokonazol</w:t>
      </w:r>
      <w:proofErr w:type="spellEnd"/>
      <w:r w:rsidRPr="00F06070">
        <w:t xml:space="preserve"> jest sklasyfikowany jako działający szkodliwie na rozrodczość kategorii 1B;</w:t>
      </w:r>
    </w:p>
    <w:p w:rsidR="00A06F0D" w:rsidRPr="00F06070" w:rsidRDefault="00A06F0D" w:rsidP="00A06F0D">
      <w:pPr>
        <w:pStyle w:val="NormalHanging12a"/>
      </w:pPr>
      <w:r w:rsidRPr="00F06070">
        <w:t>W.</w:t>
      </w:r>
      <w:r w:rsidRPr="00F06070">
        <w:tab/>
        <w:t xml:space="preserve"> </w:t>
      </w:r>
      <w:proofErr w:type="gramStart"/>
      <w:r w:rsidRPr="00F06070">
        <w:t>mając</w:t>
      </w:r>
      <w:proofErr w:type="gramEnd"/>
      <w:r w:rsidRPr="00F06070">
        <w:t xml:space="preserve"> na uwadze, że przy ustalaniu najwyższych dopuszczalnych poziomów pozostałości (NDP) należy wziąć pod uwagę efekty skumulowane i synergiczne, i niezwykle ważne jest pilne przyspieszenie opracowania odpowiednich metod takiej oceny;</w:t>
      </w:r>
    </w:p>
    <w:p w:rsidR="00A06F0D" w:rsidRPr="00F06070" w:rsidRDefault="00A06F0D" w:rsidP="00A06F0D">
      <w:pPr>
        <w:pStyle w:val="NormalHanging12a"/>
      </w:pPr>
      <w:r w:rsidRPr="00F06070">
        <w:t>1.</w:t>
      </w:r>
      <w:r w:rsidRPr="00F06070">
        <w:tab/>
      </w:r>
      <w:proofErr w:type="gramStart"/>
      <w:r w:rsidRPr="00F06070">
        <w:t>sprzeciwia</w:t>
      </w:r>
      <w:proofErr w:type="gramEnd"/>
      <w:r w:rsidRPr="00F06070">
        <w:t xml:space="preserve"> się przyjęciu projektu rozporządzenia Komisji;</w:t>
      </w:r>
    </w:p>
    <w:p w:rsidR="00A06F0D" w:rsidRPr="00F06070" w:rsidRDefault="00A06F0D" w:rsidP="00A06F0D">
      <w:pPr>
        <w:pStyle w:val="NormalHanging12a"/>
        <w:rPr>
          <w:szCs w:val="24"/>
        </w:rPr>
      </w:pPr>
      <w:r w:rsidRPr="00F06070">
        <w:t>2.</w:t>
      </w:r>
      <w:r w:rsidRPr="00F06070">
        <w:tab/>
      </w:r>
      <w:proofErr w:type="gramStart"/>
      <w:r w:rsidRPr="00F06070">
        <w:t>uważa</w:t>
      </w:r>
      <w:proofErr w:type="gramEnd"/>
      <w:r w:rsidRPr="00F06070">
        <w:t>, że projekt rozporządzenia Komisji jest niezgodny z celem i treścią rozporządzenia (WE) nr 396/2005 i rozporządzenia (WE) nr 178/2002, jak również rozporządzenia (WE) nr 1107/2009, w tym pkt 3.6.4 załącznika II do tegoż rozporządzenia;</w:t>
      </w:r>
    </w:p>
    <w:p w:rsidR="00A06F0D" w:rsidRPr="00F06070" w:rsidRDefault="00A06F0D" w:rsidP="00A06F0D">
      <w:pPr>
        <w:pStyle w:val="NormalHanging12a"/>
      </w:pPr>
      <w:r w:rsidRPr="00F06070">
        <w:t>3.</w:t>
      </w:r>
      <w:r w:rsidRPr="00F06070">
        <w:tab/>
      </w:r>
      <w:proofErr w:type="gramStart"/>
      <w:r w:rsidRPr="00F06070">
        <w:t>wzywa</w:t>
      </w:r>
      <w:proofErr w:type="gramEnd"/>
      <w:r w:rsidRPr="00F06070">
        <w:t xml:space="preserve"> Komisję do stosowania zasady ostrożności oraz do wycofania projektu rozporządzenia i przedłożenia komitetowi nowego projektu;</w:t>
      </w:r>
    </w:p>
    <w:p w:rsidR="00A06F0D" w:rsidRPr="00F06070" w:rsidRDefault="00A06F0D" w:rsidP="00A06F0D">
      <w:pPr>
        <w:pStyle w:val="NormalHanging12a"/>
      </w:pPr>
      <w:r w:rsidRPr="00F06070">
        <w:t>4.</w:t>
      </w:r>
      <w:r w:rsidRPr="00F06070">
        <w:tab/>
      </w:r>
      <w:proofErr w:type="gramStart"/>
      <w:r w:rsidRPr="00F06070">
        <w:t>wzywa</w:t>
      </w:r>
      <w:proofErr w:type="gramEnd"/>
      <w:r w:rsidRPr="00F06070">
        <w:t xml:space="preserve"> Komisję do przedłożenia komitetowi nowego projektu rozporządzenia obniżającego wszystkie NDP </w:t>
      </w:r>
      <w:proofErr w:type="spellStart"/>
      <w:r w:rsidRPr="00F06070">
        <w:t>cyprokonazolu</w:t>
      </w:r>
      <w:proofErr w:type="spellEnd"/>
      <w:r w:rsidRPr="00F06070">
        <w:t xml:space="preserve"> do granicy oznaczalności lub wartości domyślnej 0,01 mg/kg dla wszystkich zastosowań oraz do odrzucenia wszelkich wniosków o tolerancje importowe;</w:t>
      </w:r>
    </w:p>
    <w:p w:rsidR="00A06F0D" w:rsidRPr="00F06070" w:rsidRDefault="00A06F0D" w:rsidP="00A06F0D">
      <w:pPr>
        <w:pStyle w:val="NormalHanging12a"/>
      </w:pPr>
      <w:r w:rsidRPr="00F06070">
        <w:t>5.</w:t>
      </w:r>
      <w:r w:rsidRPr="00F06070">
        <w:tab/>
      </w:r>
      <w:proofErr w:type="gramStart"/>
      <w:r w:rsidRPr="00F06070">
        <w:t>odnotowuje</w:t>
      </w:r>
      <w:proofErr w:type="gramEnd"/>
      <w:r w:rsidRPr="00F06070">
        <w:t>, że EFSA pracuje nad metodami oceny skumulowanego ryzyka, ale zauważa również, że problem oceny skumulowanych skutków pestycydów i pozostałości jest znany od dziesięcioleci; dlatego zwraca się do EFSA i Komisji, aby uznały rozwiązanie tego problemu za sprawę absolutnie pilną;</w:t>
      </w:r>
    </w:p>
    <w:p w:rsidR="00A06F0D" w:rsidRPr="00F06070" w:rsidRDefault="00A06F0D" w:rsidP="00A06F0D">
      <w:pPr>
        <w:pStyle w:val="NormalHanging12a"/>
      </w:pPr>
      <w:r w:rsidRPr="00F06070">
        <w:lastRenderedPageBreak/>
        <w:t>6.</w:t>
      </w:r>
      <w:r w:rsidRPr="00F06070">
        <w:tab/>
      </w:r>
      <w:proofErr w:type="gramStart"/>
      <w:r w:rsidRPr="00F06070">
        <w:t>zobowiązuje</w:t>
      </w:r>
      <w:proofErr w:type="gramEnd"/>
      <w:r w:rsidRPr="00F06070">
        <w:t xml:space="preserve"> swoją przewodniczącą do przekazania niniejszej rezolucji Radzie i Komisji oraz rządom i parlamentom państw członkowskich.</w:t>
      </w:r>
    </w:p>
    <w:p w:rsidR="00E365E1" w:rsidRPr="00F06070" w:rsidRDefault="00E365E1" w:rsidP="005251D5">
      <w:bookmarkStart w:id="8" w:name="TextBodyEnd"/>
      <w:bookmarkEnd w:id="8"/>
    </w:p>
    <w:sectPr w:rsidR="00E365E1" w:rsidRPr="00F06070" w:rsidSect="00F060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1D5" w:rsidRPr="00F06070" w:rsidRDefault="005251D5">
      <w:r w:rsidRPr="00F06070">
        <w:separator/>
      </w:r>
    </w:p>
  </w:endnote>
  <w:endnote w:type="continuationSeparator" w:id="0">
    <w:p w:rsidR="005251D5" w:rsidRPr="00F06070" w:rsidRDefault="005251D5">
      <w:r w:rsidRPr="00F060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0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0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0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1D5" w:rsidRPr="00F06070" w:rsidRDefault="005251D5">
      <w:r w:rsidRPr="00F06070">
        <w:separator/>
      </w:r>
    </w:p>
  </w:footnote>
  <w:footnote w:type="continuationSeparator" w:id="0">
    <w:p w:rsidR="005251D5" w:rsidRPr="00F06070" w:rsidRDefault="005251D5">
      <w:r w:rsidRPr="00F06070">
        <w:continuationSeparator/>
      </w:r>
    </w:p>
  </w:footnote>
  <w:footnote w:id="1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Dz.U. L 70 z 16.3.2005, </w:t>
      </w:r>
      <w:proofErr w:type="gramStart"/>
      <w:r w:rsidRPr="00F06070">
        <w:rPr>
          <w:sz w:val="24"/>
          <w:lang w:val="pl-PL"/>
        </w:rPr>
        <w:t>s</w:t>
      </w:r>
      <w:proofErr w:type="gramEnd"/>
      <w:r w:rsidRPr="00F06070">
        <w:rPr>
          <w:sz w:val="24"/>
          <w:lang w:val="pl-PL"/>
        </w:rPr>
        <w:t>. 1.</w:t>
      </w:r>
    </w:p>
  </w:footnote>
  <w:footnote w:id="2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Dz.U. L 309 z 24.11.2009, </w:t>
      </w:r>
      <w:proofErr w:type="gramStart"/>
      <w:r w:rsidRPr="00F06070">
        <w:rPr>
          <w:sz w:val="24"/>
          <w:lang w:val="pl-PL"/>
        </w:rPr>
        <w:t>s</w:t>
      </w:r>
      <w:proofErr w:type="gramEnd"/>
      <w:r w:rsidRPr="00F06070">
        <w:rPr>
          <w:sz w:val="24"/>
          <w:lang w:val="pl-PL"/>
        </w:rPr>
        <w:t>. 1.</w:t>
      </w:r>
    </w:p>
  </w:footnote>
  <w:footnote w:id="3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Dz.U. L 31 z 1.2.2002, </w:t>
      </w:r>
      <w:proofErr w:type="gramStart"/>
      <w:r w:rsidRPr="00F06070">
        <w:rPr>
          <w:sz w:val="24"/>
          <w:lang w:val="pl-PL"/>
        </w:rPr>
        <w:t>s</w:t>
      </w:r>
      <w:proofErr w:type="gramEnd"/>
      <w:r w:rsidRPr="00F06070">
        <w:rPr>
          <w:sz w:val="24"/>
          <w:lang w:val="pl-PL"/>
        </w:rPr>
        <w:t>. 1.</w:t>
      </w:r>
    </w:p>
  </w:footnote>
  <w:footnote w:id="4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Uzasadniona opinia EFSA dotycząca przeglądu najwyższych dopuszczalnych poziomów pozostałości dla </w:t>
      </w:r>
      <w:proofErr w:type="spellStart"/>
      <w:r w:rsidRPr="00F06070">
        <w:rPr>
          <w:sz w:val="24"/>
          <w:lang w:val="pl-PL"/>
        </w:rPr>
        <w:t>cyprokonazolu</w:t>
      </w:r>
      <w:proofErr w:type="spellEnd"/>
      <w:r w:rsidRPr="00F06070">
        <w:rPr>
          <w:sz w:val="24"/>
          <w:lang w:val="pl-PL"/>
        </w:rPr>
        <w:t xml:space="preserve"> zgodnie z art. 12 rozporządzenia (WE) nr 396/2005, Dziennik EFSA</w:t>
      </w:r>
      <w:proofErr w:type="gramStart"/>
      <w:r w:rsidRPr="00F06070">
        <w:rPr>
          <w:sz w:val="24"/>
          <w:lang w:val="pl-PL"/>
        </w:rPr>
        <w:t xml:space="preserve"> 2021;19(3):e</w:t>
      </w:r>
      <w:proofErr w:type="gramEnd"/>
      <w:r w:rsidRPr="00F06070">
        <w:rPr>
          <w:sz w:val="24"/>
          <w:lang w:val="pl-PL"/>
        </w:rPr>
        <w:t xml:space="preserve">06483,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"https://doi.org/10.2903/j.efsa.2021.6483"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https://doi.org/10.2903/j.efsa.2021.6483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5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Wnioski EFSA z recenzji oceny ryzyka stwarzanego przez pestycydy, dotyczącej substancji czynnej </w:t>
      </w:r>
      <w:proofErr w:type="spellStart"/>
      <w:r w:rsidRPr="00F06070">
        <w:rPr>
          <w:sz w:val="24"/>
          <w:lang w:val="pl-PL"/>
        </w:rPr>
        <w:t>cyprokonazol</w:t>
      </w:r>
      <w:proofErr w:type="spellEnd"/>
      <w:r w:rsidRPr="00F06070">
        <w:rPr>
          <w:sz w:val="24"/>
          <w:lang w:val="pl-PL"/>
        </w:rPr>
        <w:t>, Dziennik EFSA</w:t>
      </w:r>
      <w:proofErr w:type="gramStart"/>
      <w:r w:rsidRPr="00F06070">
        <w:rPr>
          <w:sz w:val="24"/>
          <w:lang w:val="pl-PL"/>
        </w:rPr>
        <w:t xml:space="preserve"> 2010;8(11):1897,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"https://doi.org/10.2903/j.efsa.2010.1897" </w:instrText>
      </w:r>
      <w:r w:rsidR="003710E6">
        <w:fldChar w:fldCharType="separate"/>
      </w:r>
      <w:proofErr w:type="gramEnd"/>
      <w:r w:rsidRPr="00F06070">
        <w:rPr>
          <w:rStyle w:val="Hyperlink"/>
          <w:sz w:val="24"/>
          <w:lang w:val="pl-PL"/>
        </w:rPr>
        <w:t>https://doi.org/10.2903/j.efsa.2010.1897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6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Opinia Komitetu de. Oceny Ryzyka (RAC) w sprawie zharmonizowanej klasyfikacji i oznakowania </w:t>
      </w:r>
      <w:proofErr w:type="spellStart"/>
      <w:r w:rsidRPr="00F06070">
        <w:rPr>
          <w:sz w:val="24"/>
          <w:lang w:val="pl-PL"/>
        </w:rPr>
        <w:t>cyprokonazolu</w:t>
      </w:r>
      <w:proofErr w:type="spellEnd"/>
      <w:r w:rsidRPr="00F06070">
        <w:rPr>
          <w:sz w:val="24"/>
          <w:lang w:val="pl-PL"/>
        </w:rPr>
        <w:t xml:space="preserve"> (ISO) na szczeblu UE; (2RS</w:t>
      </w:r>
      <w:proofErr w:type="gramStart"/>
      <w:r w:rsidRPr="00F06070">
        <w:rPr>
          <w:sz w:val="24"/>
          <w:lang w:val="pl-PL"/>
        </w:rPr>
        <w:t>,3RS</w:t>
      </w:r>
      <w:proofErr w:type="gramEnd"/>
      <w:r w:rsidRPr="00F06070">
        <w:rPr>
          <w:sz w:val="24"/>
          <w:lang w:val="pl-PL"/>
        </w:rPr>
        <w:t xml:space="preserve">;2RS,3SR)-2-(4-chlorofenyl)-3-cyklopropyl-1-(1H-1,2,4-triazol-1-yl)butan-2-ol,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</w:instrText>
      </w:r>
      <w:r w:rsidR="003710E6" w:rsidRPr="00E54934">
        <w:rPr>
          <w:lang w:val="pl-PL"/>
        </w:rPr>
        <w:instrText xml:space="preserve">"https://echa.europa.eu/documents/10162/6d98baeb-24aa-a683-28ec-d8adabee5461"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https://echa.europa.eu/documents/10162/6d98baeb-24aa-a683-28ec-d8adabee5461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7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Dz.U. L 184 z 17.7.1999, </w:t>
      </w:r>
      <w:proofErr w:type="gramStart"/>
      <w:r w:rsidRPr="00F06070">
        <w:rPr>
          <w:sz w:val="24"/>
          <w:lang w:val="pl-PL"/>
        </w:rPr>
        <w:t>s</w:t>
      </w:r>
      <w:proofErr w:type="gramEnd"/>
      <w:r w:rsidRPr="00F06070">
        <w:rPr>
          <w:sz w:val="24"/>
          <w:lang w:val="pl-PL"/>
        </w:rPr>
        <w:t>. 23.</w:t>
      </w:r>
    </w:p>
  </w:footnote>
  <w:footnote w:id="8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Rozporządzenie Parlamentu Europejskiego i Rady (WE) nr 1272/2008 z dnia 16 grudnia 2008 r. w sprawie klasyfikacji, oznakowania i pakowania substancji i mieszanin, zmieniające i uchylające dyrektywy 67/548/EWG i 1999/45/WE oraz zmieniające rozporządzenie (WE) nr 1907/2006 (Dz.U. L 353 z 31.12.2008, </w:t>
      </w:r>
      <w:proofErr w:type="gramStart"/>
      <w:r w:rsidRPr="00F06070">
        <w:rPr>
          <w:sz w:val="24"/>
          <w:lang w:val="pl-PL"/>
        </w:rPr>
        <w:t>s</w:t>
      </w:r>
      <w:proofErr w:type="gramEnd"/>
      <w:r w:rsidRPr="00F06070">
        <w:rPr>
          <w:sz w:val="24"/>
          <w:lang w:val="pl-PL"/>
        </w:rPr>
        <w:t>. 1).</w:t>
      </w:r>
    </w:p>
  </w:footnote>
  <w:footnote w:id="9">
    <w:p w:rsidR="00A06F0D" w:rsidRPr="00F06070" w:rsidRDefault="00A06F0D" w:rsidP="00F06070">
      <w:pPr>
        <w:pStyle w:val="FootnoteText"/>
        <w:ind w:left="567" w:hanging="567"/>
        <w:rPr>
          <w:sz w:val="24"/>
          <w:highlight w:val="magenta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="003710E6">
        <w:fldChar w:fldCharType="begin"/>
      </w:r>
      <w:r w:rsidR="003710E6" w:rsidRPr="00E54934">
        <w:rPr>
          <w:lang w:val="pl-PL"/>
        </w:rPr>
        <w:instrText xml:space="preserve"> HYPERL</w:instrText>
      </w:r>
      <w:r w:rsidR="003710E6" w:rsidRPr="00E54934">
        <w:rPr>
          <w:lang w:val="pl-PL"/>
        </w:rPr>
        <w:instrText xml:space="preserve">INK "https://www.echa.europa.eu/substance-information/-/substanceinfo/100.130.443"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https://www.echa.europa.eu/substance-information/-/substanceinfo/100.130.443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10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>Wnioski EFSA w sprawie wzajemnego przeglądu dotyczącego pestycydów z dnia 8 listopada 2010 r.</w:t>
      </w:r>
      <w:r w:rsidRPr="00F06070">
        <w:rPr>
          <w:rStyle w:val="Hyperlink"/>
          <w:sz w:val="24"/>
          <w:lang w:val="pl-PL"/>
        </w:rPr>
        <w:t>;</w:t>
      </w:r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Draskau</w:t>
      </w:r>
      <w:proofErr w:type="spellEnd"/>
      <w:r w:rsidRPr="00F06070">
        <w:rPr>
          <w:sz w:val="24"/>
          <w:lang w:val="pl-PL"/>
        </w:rPr>
        <w:t xml:space="preserve">, M.K., i </w:t>
      </w:r>
      <w:proofErr w:type="spellStart"/>
      <w:r w:rsidRPr="00F06070">
        <w:rPr>
          <w:sz w:val="24"/>
          <w:lang w:val="pl-PL"/>
        </w:rPr>
        <w:t>Svingen</w:t>
      </w:r>
      <w:proofErr w:type="spellEnd"/>
      <w:r w:rsidRPr="00F06070">
        <w:rPr>
          <w:sz w:val="24"/>
          <w:lang w:val="pl-PL"/>
        </w:rPr>
        <w:t>, T., „</w:t>
      </w:r>
      <w:proofErr w:type="spellStart"/>
      <w:r w:rsidRPr="00F06070">
        <w:rPr>
          <w:sz w:val="24"/>
          <w:lang w:val="pl-PL"/>
        </w:rPr>
        <w:t>Azole</w:t>
      </w:r>
      <w:proofErr w:type="spellEnd"/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Fungicides</w:t>
      </w:r>
      <w:proofErr w:type="spellEnd"/>
      <w:r w:rsidRPr="00F06070">
        <w:rPr>
          <w:sz w:val="24"/>
          <w:lang w:val="pl-PL"/>
        </w:rPr>
        <w:t xml:space="preserve"> and </w:t>
      </w:r>
      <w:proofErr w:type="spellStart"/>
      <w:r w:rsidRPr="00F06070">
        <w:rPr>
          <w:sz w:val="24"/>
          <w:lang w:val="pl-PL"/>
        </w:rPr>
        <w:t>Their</w:t>
      </w:r>
      <w:proofErr w:type="spellEnd"/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Endocrine</w:t>
      </w:r>
      <w:proofErr w:type="spellEnd"/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Disrupting</w:t>
      </w:r>
      <w:proofErr w:type="spellEnd"/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Properties</w:t>
      </w:r>
      <w:proofErr w:type="spellEnd"/>
      <w:r w:rsidRPr="00F06070">
        <w:rPr>
          <w:sz w:val="24"/>
          <w:lang w:val="pl-PL"/>
        </w:rPr>
        <w:t xml:space="preserve">: </w:t>
      </w:r>
      <w:proofErr w:type="spellStart"/>
      <w:r w:rsidRPr="00F06070">
        <w:rPr>
          <w:sz w:val="24"/>
          <w:lang w:val="pl-PL"/>
        </w:rPr>
        <w:t>Perspectives</w:t>
      </w:r>
      <w:proofErr w:type="spellEnd"/>
      <w:r w:rsidRPr="00F06070">
        <w:rPr>
          <w:sz w:val="24"/>
          <w:lang w:val="pl-PL"/>
        </w:rPr>
        <w:t xml:space="preserve"> on Sex </w:t>
      </w:r>
      <w:proofErr w:type="spellStart"/>
      <w:r w:rsidRPr="00F06070">
        <w:rPr>
          <w:sz w:val="24"/>
          <w:lang w:val="pl-PL"/>
        </w:rPr>
        <w:t>Hormone</w:t>
      </w:r>
      <w:proofErr w:type="spellEnd"/>
      <w:r w:rsidRPr="00F06070">
        <w:rPr>
          <w:sz w:val="24"/>
          <w:lang w:val="pl-PL"/>
        </w:rPr>
        <w:t xml:space="preserve">-Dependent </w:t>
      </w:r>
      <w:proofErr w:type="spellStart"/>
      <w:r w:rsidRPr="00F06070">
        <w:rPr>
          <w:sz w:val="24"/>
          <w:lang w:val="pl-PL"/>
        </w:rPr>
        <w:t>Reproductive</w:t>
      </w:r>
      <w:proofErr w:type="spellEnd"/>
      <w:r w:rsidRPr="00F06070">
        <w:rPr>
          <w:sz w:val="24"/>
          <w:lang w:val="pl-PL"/>
        </w:rPr>
        <w:t xml:space="preserve"> Development” [Fungicydy </w:t>
      </w:r>
      <w:proofErr w:type="spellStart"/>
      <w:r w:rsidRPr="00F06070">
        <w:rPr>
          <w:sz w:val="24"/>
          <w:lang w:val="pl-PL"/>
        </w:rPr>
        <w:t>azolowe</w:t>
      </w:r>
      <w:proofErr w:type="spellEnd"/>
      <w:r w:rsidRPr="00F06070">
        <w:rPr>
          <w:sz w:val="24"/>
          <w:lang w:val="pl-PL"/>
        </w:rPr>
        <w:t xml:space="preserve"> i ich właściwości zaburzające gospodarkę hormonalną: perspektywy rozwoju reprodukcyjnego zależnego od hormonów płciowych</w:t>
      </w:r>
      <w:proofErr w:type="gramStart"/>
      <w:r w:rsidRPr="00F06070">
        <w:rPr>
          <w:sz w:val="24"/>
          <w:lang w:val="pl-PL"/>
        </w:rPr>
        <w:t>], </w:t>
      </w:r>
      <w:proofErr w:type="spellStart"/>
      <w:r w:rsidRPr="00F06070">
        <w:rPr>
          <w:sz w:val="24"/>
          <w:lang w:val="pl-PL"/>
        </w:rPr>
        <w:t>Frontiers</w:t>
      </w:r>
      <w:proofErr w:type="spellEnd"/>
      <w:proofErr w:type="gramEnd"/>
      <w:r w:rsidRPr="00F06070">
        <w:rPr>
          <w:sz w:val="24"/>
          <w:lang w:val="pl-PL"/>
        </w:rPr>
        <w:t xml:space="preserve"> in </w:t>
      </w:r>
      <w:proofErr w:type="spellStart"/>
      <w:r w:rsidRPr="00F06070">
        <w:rPr>
          <w:sz w:val="24"/>
          <w:lang w:val="pl-PL"/>
        </w:rPr>
        <w:t>Toxicology</w:t>
      </w:r>
      <w:proofErr w:type="spellEnd"/>
      <w:r w:rsidRPr="00F06070">
        <w:rPr>
          <w:sz w:val="24"/>
          <w:lang w:val="pl-PL"/>
        </w:rPr>
        <w:t xml:space="preserve"> 2022, 4:883254,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"https://doi.org/10.3389/ftox.2022.883254" </w:instrText>
      </w:r>
      <w:r w:rsidR="003710E6">
        <w:fldChar w:fldCharType="separate"/>
      </w:r>
      <w:r w:rsidRPr="00F06070">
        <w:rPr>
          <w:rStyle w:val="Hyperlink"/>
          <w:color w:val="0000FF"/>
          <w:sz w:val="24"/>
          <w:shd w:val="clear" w:color="auto" w:fill="F7F7F7"/>
          <w:lang w:val="pl-PL"/>
        </w:rPr>
        <w:t>https://doi.org/10.3389/ftox.2022.883254</w:t>
      </w:r>
      <w:r w:rsidR="003710E6">
        <w:rPr>
          <w:rStyle w:val="Hyperlink"/>
          <w:color w:val="0000FF"/>
          <w:sz w:val="24"/>
          <w:shd w:val="clear" w:color="auto" w:fill="F7F7F7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11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Rozporządzenie Komisji (UE) 2018/605 z dnia 19 kwietnia 2018 r. zmieniające załącznik II do rozporządzenia (WE) nr 1107/2009 poprzez ustanowienie naukowych kryteriów określania właściwości zaburzających funkcjonowanie układu hormonalnego (Dz.U. L 101 z 20.4.2018, </w:t>
      </w:r>
      <w:proofErr w:type="gramStart"/>
      <w:r w:rsidRPr="00F06070">
        <w:rPr>
          <w:sz w:val="24"/>
          <w:lang w:val="pl-PL"/>
        </w:rPr>
        <w:t>s</w:t>
      </w:r>
      <w:proofErr w:type="gramEnd"/>
      <w:r w:rsidRPr="00F06070">
        <w:rPr>
          <w:sz w:val="24"/>
          <w:lang w:val="pl-PL"/>
        </w:rPr>
        <w:t>. 33).</w:t>
      </w:r>
    </w:p>
  </w:footnote>
  <w:footnote w:id="12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 xml:space="preserve">Sprawozdanie naukowe grupy zadaniowej EFSA ds. substancji </w:t>
      </w:r>
      <w:proofErr w:type="spellStart"/>
      <w:r w:rsidRPr="00F06070">
        <w:rPr>
          <w:sz w:val="24"/>
          <w:lang w:val="pl-PL"/>
        </w:rPr>
        <w:t>endokrynnie</w:t>
      </w:r>
      <w:proofErr w:type="spellEnd"/>
      <w:r w:rsidRPr="00F06070">
        <w:rPr>
          <w:sz w:val="24"/>
          <w:lang w:val="pl-PL"/>
        </w:rPr>
        <w:t xml:space="preserve"> czynnych, Dziennik EFSA</w:t>
      </w:r>
      <w:proofErr w:type="gramStart"/>
      <w:r w:rsidRPr="00F06070">
        <w:rPr>
          <w:sz w:val="24"/>
          <w:lang w:val="pl-PL"/>
        </w:rPr>
        <w:t xml:space="preserve"> 2010;8(11):1932,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"https://doi.org/10.2903/j.efsa.2010.1932" </w:instrText>
      </w:r>
      <w:r w:rsidR="003710E6">
        <w:fldChar w:fldCharType="separate"/>
      </w:r>
      <w:proofErr w:type="gramEnd"/>
      <w:r w:rsidRPr="00F06070">
        <w:rPr>
          <w:rStyle w:val="Hyperlink"/>
          <w:sz w:val="24"/>
          <w:lang w:val="pl-PL"/>
        </w:rPr>
        <w:t>https://doi.org/10.2903/j.efsa.2010.1932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13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proofErr w:type="spellStart"/>
      <w:r w:rsidRPr="00F06070">
        <w:rPr>
          <w:sz w:val="24"/>
          <w:lang w:val="pl-PL"/>
        </w:rPr>
        <w:t>Zhang</w:t>
      </w:r>
      <w:proofErr w:type="spellEnd"/>
      <w:r w:rsidRPr="00F06070">
        <w:rPr>
          <w:sz w:val="24"/>
          <w:lang w:val="pl-PL"/>
        </w:rPr>
        <w:t xml:space="preserve">, J., Jimenez, L.L., </w:t>
      </w:r>
      <w:proofErr w:type="spellStart"/>
      <w:r w:rsidRPr="00F06070">
        <w:rPr>
          <w:sz w:val="24"/>
          <w:lang w:val="pl-PL"/>
        </w:rPr>
        <w:t>Snelders</w:t>
      </w:r>
      <w:proofErr w:type="spellEnd"/>
      <w:r w:rsidRPr="00F06070">
        <w:rPr>
          <w:sz w:val="24"/>
          <w:lang w:val="pl-PL"/>
        </w:rPr>
        <w:t xml:space="preserve">, E., </w:t>
      </w:r>
      <w:proofErr w:type="spellStart"/>
      <w:r w:rsidRPr="00F06070">
        <w:rPr>
          <w:sz w:val="24"/>
          <w:lang w:val="pl-PL"/>
        </w:rPr>
        <w:t>Debets</w:t>
      </w:r>
      <w:proofErr w:type="spellEnd"/>
      <w:r w:rsidRPr="00F06070">
        <w:rPr>
          <w:sz w:val="24"/>
          <w:lang w:val="pl-PL"/>
        </w:rPr>
        <w:t xml:space="preserve">, A.J.M., </w:t>
      </w:r>
      <w:proofErr w:type="spellStart"/>
      <w:r w:rsidRPr="00F06070">
        <w:rPr>
          <w:sz w:val="24"/>
          <w:lang w:val="pl-PL"/>
        </w:rPr>
        <w:t>Rietveld</w:t>
      </w:r>
      <w:proofErr w:type="spellEnd"/>
      <w:r w:rsidRPr="00F06070">
        <w:rPr>
          <w:sz w:val="24"/>
          <w:lang w:val="pl-PL"/>
        </w:rPr>
        <w:t xml:space="preserve">, A.G., </w:t>
      </w:r>
      <w:proofErr w:type="spellStart"/>
      <w:r w:rsidRPr="00F06070">
        <w:rPr>
          <w:sz w:val="24"/>
          <w:lang w:val="pl-PL"/>
        </w:rPr>
        <w:t>Zwaan</w:t>
      </w:r>
      <w:proofErr w:type="spellEnd"/>
      <w:r w:rsidRPr="00F06070">
        <w:rPr>
          <w:sz w:val="24"/>
          <w:lang w:val="pl-PL"/>
        </w:rPr>
        <w:t xml:space="preserve">, B.J., </w:t>
      </w:r>
      <w:proofErr w:type="spellStart"/>
      <w:r w:rsidRPr="00F06070">
        <w:rPr>
          <w:sz w:val="24"/>
          <w:lang w:val="pl-PL"/>
        </w:rPr>
        <w:t>Verweij</w:t>
      </w:r>
      <w:proofErr w:type="spellEnd"/>
      <w:r w:rsidRPr="00F06070">
        <w:rPr>
          <w:sz w:val="24"/>
          <w:lang w:val="pl-PL"/>
        </w:rPr>
        <w:t xml:space="preserve">, P.E., </w:t>
      </w:r>
      <w:proofErr w:type="spellStart"/>
      <w:r w:rsidRPr="00F06070">
        <w:rPr>
          <w:sz w:val="24"/>
          <w:lang w:val="pl-PL"/>
        </w:rPr>
        <w:t>Schoustra</w:t>
      </w:r>
      <w:proofErr w:type="spellEnd"/>
      <w:r w:rsidRPr="00F06070">
        <w:rPr>
          <w:sz w:val="24"/>
          <w:lang w:val="pl-PL"/>
        </w:rPr>
        <w:t xml:space="preserve">, S.E., „Dynamics of </w:t>
      </w:r>
      <w:r w:rsidRPr="00F06070">
        <w:rPr>
          <w:i/>
          <w:sz w:val="24"/>
          <w:lang w:val="pl-PL"/>
        </w:rPr>
        <w:t xml:space="preserve">Aspergillus </w:t>
      </w:r>
      <w:proofErr w:type="spellStart"/>
      <w:r w:rsidRPr="00F06070">
        <w:rPr>
          <w:i/>
          <w:sz w:val="24"/>
          <w:lang w:val="pl-PL"/>
        </w:rPr>
        <w:t>fumigatus</w:t>
      </w:r>
      <w:proofErr w:type="spellEnd"/>
      <w:r w:rsidRPr="00F06070">
        <w:rPr>
          <w:sz w:val="24"/>
          <w:lang w:val="pl-PL"/>
        </w:rPr>
        <w:t xml:space="preserve"> in </w:t>
      </w:r>
      <w:proofErr w:type="spellStart"/>
      <w:r w:rsidRPr="00F06070">
        <w:rPr>
          <w:sz w:val="24"/>
          <w:lang w:val="pl-PL"/>
        </w:rPr>
        <w:t>Azole</w:t>
      </w:r>
      <w:proofErr w:type="spellEnd"/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Fungicide-Containing</w:t>
      </w:r>
      <w:proofErr w:type="spellEnd"/>
      <w:r w:rsidRPr="00F06070">
        <w:rPr>
          <w:sz w:val="24"/>
          <w:lang w:val="pl-PL"/>
        </w:rPr>
        <w:t xml:space="preserve"> Plant Waste in the </w:t>
      </w:r>
      <w:proofErr w:type="spellStart"/>
      <w:r w:rsidRPr="00F06070">
        <w:rPr>
          <w:sz w:val="24"/>
          <w:lang w:val="pl-PL"/>
        </w:rPr>
        <w:t>Netherlands</w:t>
      </w:r>
      <w:proofErr w:type="spellEnd"/>
      <w:proofErr w:type="gramStart"/>
      <w:r w:rsidRPr="00F06070">
        <w:rPr>
          <w:sz w:val="24"/>
          <w:lang w:val="pl-PL"/>
        </w:rPr>
        <w:t xml:space="preserve"> (2016-2017)” [Dynamika</w:t>
      </w:r>
      <w:proofErr w:type="gramEnd"/>
      <w:r w:rsidRPr="00F06070">
        <w:rPr>
          <w:sz w:val="24"/>
          <w:lang w:val="pl-PL"/>
        </w:rPr>
        <w:t xml:space="preserve"> </w:t>
      </w:r>
      <w:r w:rsidRPr="00F06070">
        <w:rPr>
          <w:i/>
          <w:iCs/>
          <w:sz w:val="24"/>
          <w:lang w:val="pl-PL"/>
        </w:rPr>
        <w:t xml:space="preserve">Aspergillus </w:t>
      </w:r>
      <w:proofErr w:type="spellStart"/>
      <w:r w:rsidRPr="00F06070">
        <w:rPr>
          <w:i/>
          <w:iCs/>
          <w:sz w:val="24"/>
          <w:lang w:val="pl-PL"/>
        </w:rPr>
        <w:t>fumigatus</w:t>
      </w:r>
      <w:proofErr w:type="spellEnd"/>
      <w:r w:rsidRPr="00F06070">
        <w:rPr>
          <w:sz w:val="24"/>
          <w:lang w:val="pl-PL"/>
        </w:rPr>
        <w:t xml:space="preserve"> w odpadach roślinnych zawierających fungicydy </w:t>
      </w:r>
      <w:proofErr w:type="spellStart"/>
      <w:r w:rsidRPr="00F06070">
        <w:rPr>
          <w:sz w:val="24"/>
          <w:lang w:val="pl-PL"/>
        </w:rPr>
        <w:t>azolowe</w:t>
      </w:r>
      <w:proofErr w:type="spellEnd"/>
      <w:r w:rsidRPr="00F06070">
        <w:rPr>
          <w:sz w:val="24"/>
          <w:lang w:val="pl-PL"/>
        </w:rPr>
        <w:t xml:space="preserve"> w Holandii (2016–2017)], Applied and </w:t>
      </w:r>
      <w:proofErr w:type="spellStart"/>
      <w:r w:rsidRPr="00F06070">
        <w:rPr>
          <w:sz w:val="24"/>
          <w:lang w:val="pl-PL"/>
        </w:rPr>
        <w:t>Environmental</w:t>
      </w:r>
      <w:proofErr w:type="spellEnd"/>
      <w:r w:rsidRPr="00F06070">
        <w:rPr>
          <w:sz w:val="24"/>
          <w:lang w:val="pl-PL"/>
        </w:rPr>
        <w:t xml:space="preserve"> </w:t>
      </w:r>
      <w:proofErr w:type="spellStart"/>
      <w:r w:rsidRPr="00F06070">
        <w:rPr>
          <w:sz w:val="24"/>
          <w:lang w:val="pl-PL"/>
        </w:rPr>
        <w:t>Microbiology</w:t>
      </w:r>
      <w:proofErr w:type="spellEnd"/>
      <w:r w:rsidRPr="00F06070">
        <w:rPr>
          <w:sz w:val="24"/>
          <w:lang w:val="pl-PL"/>
        </w:rPr>
        <w:t xml:space="preserve"> 2021, 87:e02295-20,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"https://doi.org/10.1128/AEM.02295-20"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https://doi.org/10.1128/AEM.02295-20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color w:val="000000"/>
          <w:sz w:val="24"/>
          <w:lang w:val="pl-PL"/>
        </w:rPr>
        <w:t xml:space="preserve">; </w:t>
      </w:r>
      <w:r w:rsidRPr="00F06070">
        <w:rPr>
          <w:sz w:val="24"/>
          <w:lang w:val="pl-PL"/>
        </w:rPr>
        <w:t xml:space="preserve">Duński Komitet ds. Środowiska i Żywności na temat oporności na </w:t>
      </w:r>
      <w:proofErr w:type="spellStart"/>
      <w:r w:rsidRPr="00F06070">
        <w:rPr>
          <w:sz w:val="24"/>
          <w:lang w:val="pl-PL"/>
        </w:rPr>
        <w:t>azole</w:t>
      </w:r>
      <w:proofErr w:type="spellEnd"/>
      <w:r w:rsidRPr="00F06070">
        <w:rPr>
          <w:color w:val="000000"/>
          <w:sz w:val="24"/>
          <w:lang w:val="pl-PL"/>
        </w:rPr>
        <w:t xml:space="preserve">, </w:t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"https://www.ft.dk/samling/20181/almdel/MOF/bilag/407/2016336.pdf"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https://www.ft.dk/samling/20181/almdel/MOF/bilag/407/2016336.pdf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color w:val="000000"/>
          <w:sz w:val="24"/>
          <w:lang w:val="pl-PL"/>
        </w:rPr>
        <w:t xml:space="preserve">; </w:t>
      </w:r>
      <w:proofErr w:type="spellStart"/>
      <w:r w:rsidRPr="00F06070">
        <w:rPr>
          <w:color w:val="000000"/>
          <w:sz w:val="24"/>
          <w:lang w:val="pl-PL"/>
        </w:rPr>
        <w:t>Snelders</w:t>
      </w:r>
      <w:proofErr w:type="spellEnd"/>
      <w:r w:rsidRPr="00F06070">
        <w:rPr>
          <w:color w:val="000000"/>
          <w:sz w:val="24"/>
          <w:lang w:val="pl-PL"/>
        </w:rPr>
        <w:t xml:space="preserve">, E., </w:t>
      </w:r>
      <w:proofErr w:type="spellStart"/>
      <w:r w:rsidRPr="00F06070">
        <w:rPr>
          <w:color w:val="000000"/>
          <w:sz w:val="24"/>
          <w:lang w:val="pl-PL"/>
        </w:rPr>
        <w:t>Camps</w:t>
      </w:r>
      <w:proofErr w:type="spellEnd"/>
      <w:r w:rsidRPr="00F06070">
        <w:rPr>
          <w:color w:val="000000"/>
          <w:sz w:val="24"/>
          <w:lang w:val="pl-PL"/>
        </w:rPr>
        <w:t xml:space="preserve">, S.M.T., </w:t>
      </w:r>
      <w:proofErr w:type="spellStart"/>
      <w:r w:rsidRPr="00F06070">
        <w:rPr>
          <w:color w:val="000000"/>
          <w:sz w:val="24"/>
          <w:lang w:val="pl-PL"/>
        </w:rPr>
        <w:t>Karawajczyk</w:t>
      </w:r>
      <w:proofErr w:type="spellEnd"/>
      <w:r w:rsidRPr="00F06070">
        <w:rPr>
          <w:color w:val="000000"/>
          <w:sz w:val="24"/>
          <w:lang w:val="pl-PL"/>
        </w:rPr>
        <w:t xml:space="preserve">, A., </w:t>
      </w:r>
      <w:proofErr w:type="spellStart"/>
      <w:r w:rsidRPr="00F06070">
        <w:rPr>
          <w:color w:val="000000"/>
          <w:sz w:val="24"/>
          <w:lang w:val="pl-PL"/>
        </w:rPr>
        <w:t>Schaftenaar</w:t>
      </w:r>
      <w:proofErr w:type="spellEnd"/>
      <w:r w:rsidRPr="00F06070">
        <w:rPr>
          <w:color w:val="000000"/>
          <w:sz w:val="24"/>
          <w:lang w:val="pl-PL"/>
        </w:rPr>
        <w:t xml:space="preserve">, G., </w:t>
      </w:r>
      <w:proofErr w:type="spellStart"/>
      <w:r w:rsidRPr="00F06070">
        <w:rPr>
          <w:color w:val="000000"/>
          <w:sz w:val="24"/>
          <w:lang w:val="pl-PL"/>
        </w:rPr>
        <w:t>Kema</w:t>
      </w:r>
      <w:proofErr w:type="spellEnd"/>
      <w:r w:rsidRPr="00F06070">
        <w:rPr>
          <w:color w:val="000000"/>
          <w:sz w:val="24"/>
          <w:lang w:val="pl-PL"/>
        </w:rPr>
        <w:t xml:space="preserve">, G.H.J., van der Lee, H.A., </w:t>
      </w:r>
      <w:proofErr w:type="gramStart"/>
      <w:r w:rsidRPr="00F06070">
        <w:rPr>
          <w:color w:val="000000"/>
          <w:sz w:val="24"/>
          <w:lang w:val="pl-PL"/>
        </w:rPr>
        <w:t>i</w:t>
      </w:r>
      <w:proofErr w:type="gramEnd"/>
      <w:r w:rsidRPr="00F06070">
        <w:rPr>
          <w:color w:val="000000"/>
          <w:sz w:val="24"/>
          <w:lang w:val="pl-PL"/>
        </w:rPr>
        <w:t xml:space="preserve"> in., „Triazole </w:t>
      </w:r>
      <w:proofErr w:type="spellStart"/>
      <w:r w:rsidRPr="00F06070">
        <w:rPr>
          <w:color w:val="000000"/>
          <w:sz w:val="24"/>
          <w:lang w:val="pl-PL"/>
        </w:rPr>
        <w:t>Fungicides</w:t>
      </w:r>
      <w:proofErr w:type="spellEnd"/>
      <w:r w:rsidRPr="00F06070">
        <w:rPr>
          <w:color w:val="000000"/>
          <w:sz w:val="24"/>
          <w:lang w:val="pl-PL"/>
        </w:rPr>
        <w:t xml:space="preserve"> </w:t>
      </w:r>
      <w:proofErr w:type="spellStart"/>
      <w:r w:rsidRPr="00F06070">
        <w:rPr>
          <w:color w:val="000000"/>
          <w:sz w:val="24"/>
          <w:lang w:val="pl-PL"/>
        </w:rPr>
        <w:t>Can</w:t>
      </w:r>
      <w:proofErr w:type="spellEnd"/>
      <w:r w:rsidRPr="00F06070">
        <w:rPr>
          <w:color w:val="000000"/>
          <w:sz w:val="24"/>
          <w:lang w:val="pl-PL"/>
        </w:rPr>
        <w:t xml:space="preserve"> </w:t>
      </w:r>
      <w:proofErr w:type="spellStart"/>
      <w:r w:rsidRPr="00F06070">
        <w:rPr>
          <w:color w:val="000000"/>
          <w:sz w:val="24"/>
          <w:lang w:val="pl-PL"/>
        </w:rPr>
        <w:t>Induce</w:t>
      </w:r>
      <w:proofErr w:type="spellEnd"/>
      <w:r w:rsidRPr="00F06070">
        <w:rPr>
          <w:color w:val="000000"/>
          <w:sz w:val="24"/>
          <w:lang w:val="pl-PL"/>
        </w:rPr>
        <w:t xml:space="preserve"> Cross-</w:t>
      </w:r>
      <w:proofErr w:type="spellStart"/>
      <w:r w:rsidRPr="00F06070">
        <w:rPr>
          <w:color w:val="000000"/>
          <w:sz w:val="24"/>
          <w:lang w:val="pl-PL"/>
        </w:rPr>
        <w:t>Resistance</w:t>
      </w:r>
      <w:proofErr w:type="spellEnd"/>
      <w:r w:rsidRPr="00F06070">
        <w:rPr>
          <w:color w:val="000000"/>
          <w:sz w:val="24"/>
          <w:lang w:val="pl-PL"/>
        </w:rPr>
        <w:t xml:space="preserve"> to Medical </w:t>
      </w:r>
      <w:proofErr w:type="spellStart"/>
      <w:r w:rsidRPr="00F06070">
        <w:rPr>
          <w:color w:val="000000"/>
          <w:sz w:val="24"/>
          <w:lang w:val="pl-PL"/>
        </w:rPr>
        <w:t>Triazoles</w:t>
      </w:r>
      <w:proofErr w:type="spellEnd"/>
      <w:r w:rsidRPr="00F06070">
        <w:rPr>
          <w:color w:val="000000"/>
          <w:sz w:val="24"/>
          <w:lang w:val="pl-PL"/>
        </w:rPr>
        <w:t xml:space="preserve"> in </w:t>
      </w:r>
      <w:r w:rsidRPr="00F06070">
        <w:rPr>
          <w:i/>
          <w:color w:val="000000"/>
          <w:sz w:val="24"/>
          <w:lang w:val="pl-PL"/>
        </w:rPr>
        <w:t xml:space="preserve">Aspergillus </w:t>
      </w:r>
      <w:proofErr w:type="spellStart"/>
      <w:r w:rsidRPr="00F06070">
        <w:rPr>
          <w:i/>
          <w:color w:val="000000"/>
          <w:sz w:val="24"/>
          <w:lang w:val="pl-PL"/>
        </w:rPr>
        <w:t>fumigatus</w:t>
      </w:r>
      <w:proofErr w:type="spellEnd"/>
      <w:r w:rsidRPr="00F06070">
        <w:rPr>
          <w:color w:val="000000"/>
          <w:sz w:val="24"/>
          <w:lang w:val="pl-PL"/>
        </w:rPr>
        <w:t xml:space="preserve">” [Fungicydy </w:t>
      </w:r>
      <w:proofErr w:type="spellStart"/>
      <w:r w:rsidRPr="00F06070">
        <w:rPr>
          <w:color w:val="000000"/>
          <w:sz w:val="24"/>
          <w:lang w:val="pl-PL"/>
        </w:rPr>
        <w:t>triazolowe</w:t>
      </w:r>
      <w:proofErr w:type="spellEnd"/>
      <w:r w:rsidRPr="00F06070">
        <w:rPr>
          <w:color w:val="000000"/>
          <w:sz w:val="24"/>
          <w:lang w:val="pl-PL"/>
        </w:rPr>
        <w:t xml:space="preserve"> mogą wywoływać odporność krzyżową na triazole medyczne u </w:t>
      </w:r>
      <w:r w:rsidRPr="00F06070">
        <w:rPr>
          <w:i/>
          <w:iCs/>
          <w:color w:val="000000"/>
          <w:sz w:val="24"/>
          <w:lang w:val="pl-PL"/>
        </w:rPr>
        <w:t xml:space="preserve">Aspergillus </w:t>
      </w:r>
      <w:proofErr w:type="spellStart"/>
      <w:r w:rsidRPr="00F06070">
        <w:rPr>
          <w:i/>
          <w:iCs/>
          <w:color w:val="000000"/>
          <w:sz w:val="24"/>
          <w:lang w:val="pl-PL"/>
        </w:rPr>
        <w:t>fumigatus</w:t>
      </w:r>
      <w:proofErr w:type="spellEnd"/>
      <w:r w:rsidRPr="00F06070">
        <w:rPr>
          <w:color w:val="000000"/>
          <w:sz w:val="24"/>
          <w:lang w:val="pl-PL"/>
        </w:rPr>
        <w:t xml:space="preserve">]. </w:t>
      </w:r>
      <w:proofErr w:type="spellStart"/>
      <w:r w:rsidRPr="00F06070">
        <w:rPr>
          <w:color w:val="000000"/>
          <w:sz w:val="24"/>
          <w:lang w:val="pl-PL"/>
        </w:rPr>
        <w:t>PLoS</w:t>
      </w:r>
      <w:proofErr w:type="spellEnd"/>
      <w:r w:rsidRPr="00F06070">
        <w:rPr>
          <w:color w:val="000000"/>
          <w:sz w:val="24"/>
          <w:lang w:val="pl-PL"/>
        </w:rPr>
        <w:t xml:space="preserve"> ONE 2012, 7(3): e31801. https</w:t>
      </w:r>
      <w:proofErr w:type="gramStart"/>
      <w:r w:rsidRPr="00F06070">
        <w:rPr>
          <w:color w:val="000000"/>
          <w:sz w:val="24"/>
          <w:lang w:val="pl-PL"/>
        </w:rPr>
        <w:t>://doi</w:t>
      </w:r>
      <w:proofErr w:type="gramEnd"/>
      <w:r w:rsidRPr="00F06070">
        <w:rPr>
          <w:color w:val="000000"/>
          <w:sz w:val="24"/>
          <w:lang w:val="pl-PL"/>
        </w:rPr>
        <w:t>.</w:t>
      </w:r>
      <w:proofErr w:type="gramStart"/>
      <w:r w:rsidRPr="00F06070">
        <w:rPr>
          <w:color w:val="000000"/>
          <w:sz w:val="24"/>
          <w:lang w:val="pl-PL"/>
        </w:rPr>
        <w:t>org</w:t>
      </w:r>
      <w:proofErr w:type="gramEnd"/>
      <w:r w:rsidRPr="00F06070">
        <w:rPr>
          <w:color w:val="000000"/>
          <w:sz w:val="24"/>
          <w:lang w:val="pl-PL"/>
        </w:rPr>
        <w:t>/10.1371/journal.</w:t>
      </w:r>
      <w:proofErr w:type="gramStart"/>
      <w:r w:rsidRPr="00F06070">
        <w:rPr>
          <w:color w:val="000000"/>
          <w:sz w:val="24"/>
          <w:lang w:val="pl-PL"/>
        </w:rPr>
        <w:t>pone</w:t>
      </w:r>
      <w:proofErr w:type="gramEnd"/>
      <w:r w:rsidRPr="00F06070">
        <w:rPr>
          <w:color w:val="000000"/>
          <w:sz w:val="24"/>
          <w:lang w:val="pl-PL"/>
        </w:rPr>
        <w:t>.0031801.</w:t>
      </w:r>
    </w:p>
  </w:footnote>
  <w:footnote w:id="14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"https://open.efsa.europa.eu/question/EFSA-Q-2022-00040"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https://open.efsa.europa.eu/question/EFSA-Q-2022-00040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sz w:val="24"/>
          <w:lang w:val="pl-PL"/>
        </w:rPr>
        <w:t>.</w:t>
      </w:r>
    </w:p>
  </w:footnote>
  <w:footnote w:id="15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rStyle w:val="FootnoteReference"/>
          <w:sz w:val="24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="003710E6">
        <w:fldChar w:fldCharType="begin"/>
      </w:r>
      <w:r w:rsidR="003710E6" w:rsidRPr="00E54934">
        <w:rPr>
          <w:lang w:val="pl-PL"/>
        </w:rPr>
        <w:instrText xml:space="preserve"> HYPERLINK "https://ec.europa.eu/transparency/comitology-register/screen/documents/0898</w:instrText>
      </w:r>
      <w:r w:rsidR="003710E6" w:rsidRPr="00E54934">
        <w:rPr>
          <w:lang w:val="pl-PL"/>
        </w:rPr>
        <w:instrText xml:space="preserve">80/5/consult?lang=pl" </w:instrText>
      </w:r>
      <w:r w:rsidR="003710E6">
        <w:fldChar w:fldCharType="separate"/>
      </w:r>
      <w:r w:rsidRPr="00F06070">
        <w:rPr>
          <w:rStyle w:val="Hyperlink"/>
          <w:sz w:val="24"/>
          <w:lang w:val="pl-PL"/>
        </w:rPr>
        <w:t>https://ec.europa.eu/transparency/comitology-register/screen/documents/089880/5/consult?lang=pl</w:t>
      </w:r>
      <w:r w:rsidR="003710E6">
        <w:rPr>
          <w:rStyle w:val="Hyperlink"/>
          <w:sz w:val="24"/>
          <w:lang w:val="pl-PL"/>
        </w:rPr>
        <w:fldChar w:fldCharType="end"/>
      </w:r>
      <w:r w:rsidRPr="00F06070">
        <w:rPr>
          <w:rStyle w:val="Hyperlink"/>
          <w:sz w:val="24"/>
          <w:lang w:val="pl-PL"/>
        </w:rPr>
        <w:t>.</w:t>
      </w:r>
    </w:p>
  </w:footnote>
  <w:footnote w:id="16">
    <w:p w:rsidR="00A06F0D" w:rsidRPr="00F06070" w:rsidRDefault="00A06F0D" w:rsidP="00F06070">
      <w:pPr>
        <w:pStyle w:val="FootnoteText"/>
        <w:ind w:left="567" w:hanging="567"/>
        <w:rPr>
          <w:sz w:val="24"/>
          <w:lang w:val="pl-PL"/>
        </w:rPr>
      </w:pPr>
      <w:r w:rsidRPr="00F06070">
        <w:rPr>
          <w:sz w:val="24"/>
          <w:vertAlign w:val="superscript"/>
          <w:lang w:val="pl-PL"/>
        </w:rPr>
        <w:footnoteRef/>
      </w:r>
      <w:r w:rsidR="00F06070" w:rsidRPr="00F06070">
        <w:rPr>
          <w:sz w:val="24"/>
          <w:lang w:val="pl-PL"/>
        </w:rPr>
        <w:t xml:space="preserve"> </w:t>
      </w:r>
      <w:r w:rsidR="00F06070" w:rsidRPr="00F06070">
        <w:rPr>
          <w:sz w:val="24"/>
          <w:lang w:val="pl-PL"/>
        </w:rPr>
        <w:tab/>
      </w:r>
      <w:r w:rsidRPr="00F06070">
        <w:rPr>
          <w:sz w:val="24"/>
          <w:lang w:val="pl-PL"/>
        </w:rPr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0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0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0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PL"/>
    <w:docVar w:name="dvnumam" w:val="0"/>
    <w:docVar w:name="dvpe" w:val="763.091"/>
    <w:docVar w:name="dvtitre" w:val="Rezolucja Parlamentu Europejskiego z dnia  2024 r. w sprawie projektu rozporządzenia Komisji zmieniającego załączniki II i III do rozporządzenia (WE) nr 396/2005 Parlamentu Europejskiego i Rady w odniesieniu do najwyższych dopuszczalnych poziomów pozostałości cyprokonazolu i spirodiklofenu w określonych produktach oraz na ich powierzchni(D091952/05 – 2024/2759(RPS))"/>
  </w:docVars>
  <w:rsids>
    <w:rsidRoot w:val="005251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81B"/>
    <w:rsid w:val="00343214"/>
    <w:rsid w:val="00361C00"/>
    <w:rsid w:val="003710E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1D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F0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934"/>
    <w:rsid w:val="00E820A4"/>
    <w:rsid w:val="00EB006A"/>
    <w:rsid w:val="00EB4772"/>
    <w:rsid w:val="00ED169E"/>
    <w:rsid w:val="00ED4235"/>
    <w:rsid w:val="00F04346"/>
    <w:rsid w:val="00F06070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65A87"/>
  <w15:chartTrackingRefBased/>
  <w15:docId w15:val="{8DD4D2BD-6FAF-47CA-8894-FD37591D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6F0D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A06F0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06F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15C8D-40A6-4F2A-B0B4-26CBC73A0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2024-09-18T12:42:00Z</dcterms:created>
  <dcterms:modified xsi:type="dcterms:W3CDTF">2024-09-18T12:42:00Z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B10-0021/2024</vt:lpwstr>
  </property>
  <property fmtid="{D5CDD505-2E9C-101B-9397-08002B2CF9AE}" pid="4" name="&lt;Type&gt;">
    <vt:lpwstr>RR</vt:lpwstr>
  </property>
</Properties>
</file>