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180A" w:rsidTr="0010095E">
        <w:trPr>
          <w:trHeight w:hRule="exact" w:val="1418"/>
        </w:trPr>
        <w:tc>
          <w:tcPr>
            <w:tcW w:w="6804" w:type="dxa"/>
            <w:shd w:val="clear" w:color="auto" w:fill="auto"/>
            <w:vAlign w:val="center"/>
          </w:tcPr>
          <w:p w:rsidR="00751A4A" w:rsidRPr="0019180A" w:rsidRDefault="0009244E" w:rsidP="0010095E">
            <w:pPr>
              <w:pStyle w:val="EPName"/>
            </w:pPr>
            <w:r w:rsidRPr="0019180A">
              <w:t>Parlamento Europeu</w:t>
            </w:r>
          </w:p>
          <w:p w:rsidR="00751A4A" w:rsidRPr="0019180A" w:rsidRDefault="005F1B17" w:rsidP="005F1B17">
            <w:pPr>
              <w:pStyle w:val="EPTerm"/>
              <w:rPr>
                <w:rStyle w:val="HideTWBExt"/>
                <w:noProof w:val="0"/>
                <w:vanish w:val="0"/>
                <w:color w:val="auto"/>
              </w:rPr>
            </w:pPr>
            <w:r w:rsidRPr="0019180A">
              <w:t>2024</w:t>
            </w:r>
            <w:r w:rsidR="00817416" w:rsidRPr="0019180A">
              <w:t>-202</w:t>
            </w:r>
            <w:r w:rsidRPr="0019180A">
              <w:t>9</w:t>
            </w:r>
          </w:p>
        </w:tc>
        <w:tc>
          <w:tcPr>
            <w:tcW w:w="2268" w:type="dxa"/>
            <w:shd w:val="clear" w:color="auto" w:fill="auto"/>
          </w:tcPr>
          <w:p w:rsidR="00751A4A" w:rsidRPr="0019180A" w:rsidRDefault="00187494" w:rsidP="0010095E">
            <w:pPr>
              <w:pStyle w:val="EPLogo"/>
            </w:pPr>
            <w:r w:rsidRPr="001918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180A" w:rsidRDefault="00D058B8" w:rsidP="004C5D52">
      <w:pPr>
        <w:pStyle w:val="LineTop"/>
      </w:pPr>
    </w:p>
    <w:p w:rsidR="00680577" w:rsidRPr="0019180A" w:rsidRDefault="0009244E" w:rsidP="00680577">
      <w:pPr>
        <w:pStyle w:val="EPBodyTA1"/>
      </w:pPr>
      <w:r w:rsidRPr="0019180A">
        <w:t>TEXTOS APROVADOS</w:t>
      </w:r>
    </w:p>
    <w:p w:rsidR="00D058B8" w:rsidRPr="0019180A" w:rsidRDefault="00D058B8" w:rsidP="00D058B8">
      <w:pPr>
        <w:pStyle w:val="LineBottom"/>
      </w:pPr>
    </w:p>
    <w:p w:rsidR="0009244E" w:rsidRPr="0019180A" w:rsidRDefault="0009244E" w:rsidP="0009244E">
      <w:pPr>
        <w:pStyle w:val="ATHeading1"/>
      </w:pPr>
      <w:bookmarkStart w:id="0" w:name="TANumber"/>
      <w:r w:rsidRPr="0019180A">
        <w:t>P10_TA(2024)000</w:t>
      </w:r>
      <w:bookmarkEnd w:id="0"/>
      <w:r w:rsidR="00570FC4">
        <w:t>7</w:t>
      </w:r>
      <w:bookmarkStart w:id="1" w:name="_GoBack"/>
      <w:bookmarkEnd w:id="1"/>
    </w:p>
    <w:p w:rsidR="0009244E" w:rsidRPr="0019180A" w:rsidRDefault="00EF09C5" w:rsidP="0009244E">
      <w:pPr>
        <w:pStyle w:val="ATHeading2"/>
      </w:pPr>
      <w:bookmarkStart w:id="2" w:name="title"/>
      <w:r w:rsidRPr="0019180A">
        <w:t>Objeção a um ato de execução: l</w:t>
      </w:r>
      <w:r w:rsidR="0009244E" w:rsidRPr="0019180A">
        <w:t xml:space="preserve">imites máximos de resíduos de </w:t>
      </w:r>
      <w:proofErr w:type="spellStart"/>
      <w:r w:rsidR="0009244E" w:rsidRPr="0019180A">
        <w:t>ciproconazol</w:t>
      </w:r>
      <w:bookmarkEnd w:id="2"/>
      <w:proofErr w:type="spellEnd"/>
    </w:p>
    <w:p w:rsidR="0009244E" w:rsidRPr="0019180A" w:rsidRDefault="0009244E" w:rsidP="0009244E">
      <w:pPr>
        <w:rPr>
          <w:i/>
          <w:vanish/>
        </w:rPr>
      </w:pPr>
      <w:r w:rsidRPr="0019180A">
        <w:rPr>
          <w:i/>
        </w:rPr>
        <w:fldChar w:fldCharType="begin"/>
      </w:r>
      <w:r w:rsidRPr="0019180A">
        <w:rPr>
          <w:i/>
        </w:rPr>
        <w:instrText xml:space="preserve"> TC"(</w:instrText>
      </w:r>
      <w:bookmarkStart w:id="3" w:name="DocNumber"/>
      <w:r w:rsidRPr="0019180A">
        <w:rPr>
          <w:i/>
        </w:rPr>
        <w:instrText>B10-0021/2024</w:instrText>
      </w:r>
      <w:bookmarkEnd w:id="3"/>
      <w:r w:rsidRPr="0019180A">
        <w:rPr>
          <w:i/>
        </w:rPr>
        <w:instrText xml:space="preserve">)"\l3 \n&gt; \* MERGEFORMAT </w:instrText>
      </w:r>
      <w:r w:rsidRPr="0019180A">
        <w:rPr>
          <w:i/>
        </w:rPr>
        <w:fldChar w:fldCharType="end"/>
      </w:r>
    </w:p>
    <w:p w:rsidR="0009244E" w:rsidRPr="0019180A" w:rsidRDefault="0009244E" w:rsidP="0009244E">
      <w:pPr>
        <w:rPr>
          <w:vanish/>
        </w:rPr>
      </w:pPr>
      <w:bookmarkStart w:id="4" w:name="PE"/>
      <w:r w:rsidRPr="0019180A">
        <w:rPr>
          <w:vanish/>
        </w:rPr>
        <w:t>PE763.091</w:t>
      </w:r>
      <w:bookmarkEnd w:id="4"/>
    </w:p>
    <w:p w:rsidR="0009244E" w:rsidRPr="0019180A" w:rsidRDefault="0009244E" w:rsidP="0009244E">
      <w:pPr>
        <w:pStyle w:val="ATHeading3"/>
      </w:pPr>
      <w:bookmarkStart w:id="5" w:name="Sujet"/>
      <w:r w:rsidRPr="0019180A">
        <w:t xml:space="preserve">Resolução do Parlamento Europeu, de </w:t>
      </w:r>
      <w:r w:rsidR="00C446BF" w:rsidRPr="0019180A">
        <w:t>18</w:t>
      </w:r>
      <w:r w:rsidRPr="0019180A">
        <w:t xml:space="preserve"> de </w:t>
      </w:r>
      <w:r w:rsidR="00C446BF" w:rsidRPr="0019180A">
        <w:t>setembro</w:t>
      </w:r>
      <w:r w:rsidRPr="0019180A">
        <w:t xml:space="preserve"> de 2024, sobre o projeto de </w:t>
      </w:r>
      <w:r w:rsidR="00EF09C5" w:rsidRPr="0019180A">
        <w:t>r</w:t>
      </w:r>
      <w:r w:rsidRPr="0019180A">
        <w:t xml:space="preserve">egulamento da Comissão que altera os anexos II e III do Regulamento (CE) n.º 396/2005 do Parlamento Europeu e do Conselho no que se refere aos limites máximos de resíduos de </w:t>
      </w:r>
      <w:proofErr w:type="spellStart"/>
      <w:r w:rsidRPr="0019180A">
        <w:t>ciproconazol</w:t>
      </w:r>
      <w:proofErr w:type="spellEnd"/>
      <w:r w:rsidRPr="0019180A">
        <w:t xml:space="preserve"> e </w:t>
      </w:r>
      <w:proofErr w:type="spellStart"/>
      <w:r w:rsidRPr="0019180A">
        <w:t>espirodiclofena</w:t>
      </w:r>
      <w:proofErr w:type="spellEnd"/>
      <w:r w:rsidRPr="0019180A">
        <w:t xml:space="preserve"> no interior e à superfície de determinados produtos</w:t>
      </w:r>
      <w:bookmarkEnd w:id="5"/>
      <w:r w:rsidRPr="0019180A">
        <w:t xml:space="preserve"> </w:t>
      </w:r>
      <w:bookmarkStart w:id="6" w:name="References"/>
      <w:r w:rsidRPr="0019180A">
        <w:t>(D091952/05 – 2024/2759(RPS))</w:t>
      </w:r>
      <w:bookmarkEnd w:id="6"/>
    </w:p>
    <w:p w:rsidR="001A62D5" w:rsidRPr="0019180A" w:rsidRDefault="001A62D5" w:rsidP="001A62D5">
      <w:pPr>
        <w:pStyle w:val="EPComma"/>
      </w:pPr>
      <w:bookmarkStart w:id="7" w:name="TextBodyBegin"/>
      <w:bookmarkEnd w:id="7"/>
      <w:r w:rsidRPr="0019180A">
        <w:rPr>
          <w:i/>
        </w:rPr>
        <w:t>O Parlamento Europeu</w:t>
      </w:r>
      <w:r w:rsidRPr="0019180A">
        <w:t>,</w:t>
      </w:r>
    </w:p>
    <w:p w:rsidR="001A62D5" w:rsidRPr="0019180A" w:rsidRDefault="001A62D5" w:rsidP="001A62D5">
      <w:pPr>
        <w:pStyle w:val="NormalHanging12a"/>
      </w:pPr>
      <w:r w:rsidRPr="0019180A">
        <w:t>–</w:t>
      </w:r>
      <w:r w:rsidRPr="0019180A">
        <w:tab/>
        <w:t xml:space="preserve">Tendo em conta o projeto de Regulamento da Comissão que altera os anexos II e III do Regulamento (CE) n.º 396/2005 do Parlamento Europeu e do Conselho no que se refere aos limites máximos de resíduos de </w:t>
      </w:r>
      <w:proofErr w:type="spellStart"/>
      <w:r w:rsidRPr="0019180A">
        <w:t>ciproconazol</w:t>
      </w:r>
      <w:proofErr w:type="spellEnd"/>
      <w:r w:rsidRPr="0019180A">
        <w:t xml:space="preserve"> e </w:t>
      </w:r>
      <w:proofErr w:type="spellStart"/>
      <w:r w:rsidRPr="0019180A">
        <w:t>espirodiclofena</w:t>
      </w:r>
      <w:proofErr w:type="spellEnd"/>
      <w:r w:rsidRPr="0019180A">
        <w:t xml:space="preserve"> no interior e à superfície de determinados produtos (D091952/05),</w:t>
      </w:r>
    </w:p>
    <w:p w:rsidR="001A62D5" w:rsidRPr="0019180A" w:rsidRDefault="001A62D5" w:rsidP="001A62D5">
      <w:pPr>
        <w:pStyle w:val="NormalHanging12a"/>
        <w:rPr>
          <w:szCs w:val="24"/>
        </w:rPr>
      </w:pPr>
      <w:r w:rsidRPr="0019180A">
        <w:t>–</w:t>
      </w:r>
      <w:r w:rsidRPr="0019180A">
        <w:tab/>
        <w:t>Tendo em conta o Regulamento (CE) n.º 396/2005 do Parlamento Europeu e do Conselho, de 23 de fevereiro de 2005, relativo aos limites máximos de resíduos de pesticidas no interior e à superfície dos géneros alimentícios e dos alimentos para animais, de origem vegetal ou animal, e que altera a Diretiva 91/414/CEE</w:t>
      </w:r>
      <w:r w:rsidRPr="0019180A">
        <w:rPr>
          <w:rStyle w:val="FootnoteReference"/>
        </w:rPr>
        <w:footnoteReference w:id="1"/>
      </w:r>
      <w:r w:rsidRPr="0019180A">
        <w:t xml:space="preserve"> do Conselho, nomeadamente o artigo 14.º, n.º 1, alínea a), e o artigo 49.º, n.º 2,</w:t>
      </w:r>
    </w:p>
    <w:p w:rsidR="001A62D5" w:rsidRPr="0019180A" w:rsidRDefault="001A62D5" w:rsidP="001A62D5">
      <w:pPr>
        <w:pStyle w:val="NormalHanging12a"/>
        <w:rPr>
          <w:szCs w:val="24"/>
        </w:rPr>
      </w:pPr>
      <w:r w:rsidRPr="0019180A">
        <w:t>–</w:t>
      </w:r>
      <w:r w:rsidRPr="0019180A">
        <w:tab/>
        <w:t>Tendo em conta o Regulamento (CE) n.º 1107/2009 do Parlamento Europeu e do Conselho, de 21 de outubro de 2009, relativo à colocação dos produtos fitofarmacêuticos no mercado e que revoga as Diretivas 79/117/CEE e 91/414/CEE</w:t>
      </w:r>
      <w:r w:rsidRPr="0019180A">
        <w:rPr>
          <w:rStyle w:val="FootnoteReference"/>
          <w:szCs w:val="24"/>
        </w:rPr>
        <w:footnoteReference w:id="2"/>
      </w:r>
      <w:r w:rsidRPr="0019180A">
        <w:t xml:space="preserve"> do Conselho, nomeadamente o artigo 4.º, n.º 1, e o artigo 4.º, n.º 2, primeiro parágrafo, alínea a), e o seu anexo II, ponto 3.6.4,</w:t>
      </w:r>
    </w:p>
    <w:p w:rsidR="001A62D5" w:rsidRPr="0019180A" w:rsidRDefault="001A62D5" w:rsidP="001A62D5">
      <w:pPr>
        <w:pStyle w:val="NormalHanging12a"/>
        <w:rPr>
          <w:szCs w:val="24"/>
        </w:rPr>
      </w:pPr>
      <w:r w:rsidRPr="0019180A">
        <w:t>–</w:t>
      </w:r>
      <w:r w:rsidRPr="0019180A">
        <w:tab/>
        <w:t>Tendo em conta o 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w:t>
      </w:r>
      <w:r w:rsidRPr="0019180A">
        <w:rPr>
          <w:rStyle w:val="FootnoteReference"/>
          <w:szCs w:val="24"/>
        </w:rPr>
        <w:footnoteReference w:id="3"/>
      </w:r>
      <w:r w:rsidRPr="0019180A">
        <w:t>, nomeadamente o artigo 5.º, n.º 1,</w:t>
      </w:r>
    </w:p>
    <w:p w:rsidR="001A62D5" w:rsidRPr="0019180A" w:rsidRDefault="001A62D5" w:rsidP="001A62D5">
      <w:pPr>
        <w:pStyle w:val="NormalHanging12a"/>
        <w:rPr>
          <w:szCs w:val="24"/>
        </w:rPr>
      </w:pPr>
      <w:r w:rsidRPr="0019180A">
        <w:lastRenderedPageBreak/>
        <w:t>–</w:t>
      </w:r>
      <w:r w:rsidRPr="0019180A">
        <w:tab/>
        <w:t>Tendo em conta os artigos 11.º, 13.º, 168.º e 191.º do Tratado sobre o Funcionamento da União Europeia (TFUE),</w:t>
      </w:r>
    </w:p>
    <w:p w:rsidR="001A62D5" w:rsidRPr="0019180A" w:rsidRDefault="001A62D5" w:rsidP="001A62D5">
      <w:pPr>
        <w:pStyle w:val="NormalHanging12a"/>
      </w:pPr>
      <w:r w:rsidRPr="0019180A">
        <w:t>–</w:t>
      </w:r>
      <w:r w:rsidRPr="0019180A">
        <w:tab/>
        <w:t>Tendo em conta o parecer fundamentado adotado pela Autoridade Europeia para a Segurança dos Alimentos (EFSA) em 19 de fevereiro de 2021 e publicado em 22 de março de 2021</w:t>
      </w:r>
      <w:r w:rsidRPr="0019180A">
        <w:rPr>
          <w:rStyle w:val="FootnoteReference"/>
          <w:szCs w:val="24"/>
        </w:rPr>
        <w:footnoteReference w:id="4"/>
      </w:r>
      <w:r w:rsidRPr="0019180A">
        <w:t>,</w:t>
      </w:r>
    </w:p>
    <w:p w:rsidR="001A62D5" w:rsidRPr="0019180A" w:rsidRDefault="001A62D5" w:rsidP="001A62D5">
      <w:pPr>
        <w:pStyle w:val="NormalHanging12a"/>
        <w:rPr>
          <w:szCs w:val="24"/>
        </w:rPr>
      </w:pPr>
      <w:r w:rsidRPr="0019180A">
        <w:t>–</w:t>
      </w:r>
      <w:r w:rsidRPr="0019180A">
        <w:tab/>
        <w:t>Tendo em conta as conclusões da EFSA sobre a análise pelos pares da avaliação dos riscos de pesticidas, adotadas pela EFSA em 8 de novembro de 2010 e publicadas em 25 de novembro de 2010</w:t>
      </w:r>
      <w:r w:rsidRPr="0019180A">
        <w:rPr>
          <w:rStyle w:val="FootnoteReference"/>
        </w:rPr>
        <w:footnoteReference w:id="5"/>
      </w:r>
      <w:r w:rsidRPr="0019180A">
        <w:t>,</w:t>
      </w:r>
    </w:p>
    <w:p w:rsidR="001A62D5" w:rsidRPr="0019180A" w:rsidRDefault="001A62D5" w:rsidP="001A62D5">
      <w:pPr>
        <w:pStyle w:val="NormalHanging12a"/>
        <w:rPr>
          <w:szCs w:val="24"/>
        </w:rPr>
      </w:pPr>
      <w:r w:rsidRPr="0019180A">
        <w:t>–</w:t>
      </w:r>
      <w:r w:rsidRPr="0019180A">
        <w:tab/>
        <w:t>Tendo em conta o parecer adotado pelo Comité de Avaliação dos Riscos (RAC) da Agência Europeia dos Produtos Químicos (ECHA), em 11 de setembro de 2015</w:t>
      </w:r>
      <w:r w:rsidRPr="0019180A">
        <w:rPr>
          <w:rStyle w:val="FootnoteReference"/>
          <w:szCs w:val="24"/>
        </w:rPr>
        <w:footnoteReference w:id="6"/>
      </w:r>
      <w:r w:rsidRPr="0019180A">
        <w:t>,</w:t>
      </w:r>
    </w:p>
    <w:p w:rsidR="001A62D5" w:rsidRPr="0019180A" w:rsidRDefault="001A62D5" w:rsidP="001A62D5">
      <w:pPr>
        <w:pStyle w:val="NormalHanging12a"/>
      </w:pPr>
      <w:r w:rsidRPr="0019180A">
        <w:t>–</w:t>
      </w:r>
      <w:r w:rsidRPr="0019180A">
        <w:tab/>
        <w:t>Tendo em conta o artigo 5.º</w:t>
      </w:r>
      <w:r w:rsidRPr="0019180A">
        <w:noBreakHyphen/>
        <w:t>A, n.º 3, alínea b), e n.º 5, da Decisão 1999/468/CE do Conselho, de 28 de junho de 1999, que fixa as regras de exercício das competências de execução atribuídas à Comissão</w:t>
      </w:r>
      <w:r w:rsidRPr="0019180A">
        <w:rPr>
          <w:rStyle w:val="FootnoteReference"/>
        </w:rPr>
        <w:footnoteReference w:id="7"/>
      </w:r>
      <w:r w:rsidRPr="0019180A">
        <w:t>,</w:t>
      </w:r>
    </w:p>
    <w:p w:rsidR="001A62D5" w:rsidRPr="0019180A" w:rsidRDefault="001A62D5" w:rsidP="001A62D5">
      <w:pPr>
        <w:pStyle w:val="NormalHanging12a"/>
      </w:pPr>
      <w:r w:rsidRPr="0019180A">
        <w:t>–</w:t>
      </w:r>
      <w:r w:rsidRPr="0019180A">
        <w:tab/>
        <w:t xml:space="preserve">Tendo em conta o artigo 115.º, </w:t>
      </w:r>
      <w:proofErr w:type="spellStart"/>
      <w:proofErr w:type="gramStart"/>
      <w:r w:rsidRPr="0019180A">
        <w:t>n.</w:t>
      </w:r>
      <w:r w:rsidRPr="0019180A">
        <w:rPr>
          <w:vertAlign w:val="superscript"/>
        </w:rPr>
        <w:t>os</w:t>
      </w:r>
      <w:proofErr w:type="spellEnd"/>
      <w:proofErr w:type="gramEnd"/>
      <w:r w:rsidRPr="0019180A">
        <w:t> 2 e 3, e n.º 4, alínea c), do seu Regimento,</w:t>
      </w:r>
    </w:p>
    <w:p w:rsidR="001A62D5" w:rsidRPr="0019180A" w:rsidRDefault="001A62D5" w:rsidP="001A62D5">
      <w:pPr>
        <w:pStyle w:val="NormalHanging12a"/>
      </w:pPr>
      <w:r w:rsidRPr="0019180A">
        <w:t>–</w:t>
      </w:r>
      <w:r w:rsidRPr="0019180A">
        <w:tab/>
        <w:t>Tendo em conta a proposta de resolução da Comissão do Ambiente, da Saúde Pública e da Segurança Alimentar,</w:t>
      </w:r>
    </w:p>
    <w:p w:rsidR="001A62D5" w:rsidRPr="0019180A" w:rsidRDefault="001A62D5" w:rsidP="001A62D5">
      <w:pPr>
        <w:pStyle w:val="NormalHanging12a"/>
      </w:pPr>
      <w:r w:rsidRPr="0019180A">
        <w:t>A.</w:t>
      </w:r>
      <w:r w:rsidRPr="0019180A">
        <w:tab/>
        <w:t>Considerando que uma das principais reivindicações dos agricultores nos protestos que decorreram no primeiro semestre de 2024 era um tratamento justo e equitativo dos produtos importados de países terceiros, que deveriam seguir as mesmas normas que os produtos produzidos na União;</w:t>
      </w:r>
    </w:p>
    <w:p w:rsidR="001A62D5" w:rsidRPr="0019180A" w:rsidRDefault="001A62D5" w:rsidP="001A62D5">
      <w:pPr>
        <w:pStyle w:val="NormalHanging12a"/>
      </w:pPr>
      <w:proofErr w:type="gramStart"/>
      <w:r w:rsidRPr="0019180A">
        <w:t>B.</w:t>
      </w:r>
      <w:r w:rsidRPr="0019180A">
        <w:tab/>
        <w:t>Considerando</w:t>
      </w:r>
      <w:proofErr w:type="gramEnd"/>
      <w:r w:rsidRPr="0019180A">
        <w:t xml:space="preserve"> que a adoção do projeto de regulamento da Comissão permitiria que se continuassem a importar para a União produtos que não cumprem as normas a que os agricultores da União estão sujeitos;</w:t>
      </w:r>
    </w:p>
    <w:p w:rsidR="001A62D5" w:rsidRPr="0019180A" w:rsidRDefault="001A62D5" w:rsidP="001A62D5">
      <w:pPr>
        <w:pStyle w:val="NormalHanging12a"/>
      </w:pPr>
      <w:proofErr w:type="gramStart"/>
      <w:r w:rsidRPr="0019180A">
        <w:t>C.</w:t>
      </w:r>
      <w:r w:rsidRPr="0019180A">
        <w:tab/>
        <w:t>Considerando</w:t>
      </w:r>
      <w:proofErr w:type="gramEnd"/>
      <w:r w:rsidRPr="0019180A">
        <w:t xml:space="preserve"> que tal situação colocaria os agricultores da União em desvantagem concorrencial;</w:t>
      </w:r>
    </w:p>
    <w:p w:rsidR="001A62D5" w:rsidRPr="0019180A" w:rsidRDefault="001A62D5" w:rsidP="001A62D5">
      <w:pPr>
        <w:pStyle w:val="NormalHanging12a"/>
      </w:pPr>
      <w:r w:rsidRPr="0019180A">
        <w:t>D.</w:t>
      </w:r>
      <w:r w:rsidRPr="0019180A">
        <w:tab/>
        <w:t xml:space="preserve">Considerando que o </w:t>
      </w:r>
      <w:proofErr w:type="spellStart"/>
      <w:r w:rsidRPr="0019180A">
        <w:t>ciproconazol</w:t>
      </w:r>
      <w:proofErr w:type="spellEnd"/>
      <w:r w:rsidRPr="0019180A">
        <w:t xml:space="preserve"> é um fungicida da classe dos </w:t>
      </w:r>
      <w:proofErr w:type="spellStart"/>
      <w:r w:rsidRPr="0019180A">
        <w:t>azóis</w:t>
      </w:r>
      <w:proofErr w:type="spellEnd"/>
      <w:r w:rsidRPr="0019180A">
        <w:t xml:space="preserve">, utilizado principalmente em culturas de cereais, café, beterraba sacarina, maçãs e uvas, e </w:t>
      </w:r>
      <w:r w:rsidRPr="0019180A">
        <w:lastRenderedPageBreak/>
        <w:t>amendoins;</w:t>
      </w:r>
    </w:p>
    <w:p w:rsidR="001A62D5" w:rsidRPr="0019180A" w:rsidRDefault="001A62D5" w:rsidP="001A62D5">
      <w:pPr>
        <w:pStyle w:val="NormalHanging12a"/>
      </w:pPr>
      <w:r w:rsidRPr="0019180A">
        <w:t>E.</w:t>
      </w:r>
      <w:r w:rsidRPr="0019180A">
        <w:tab/>
        <w:t xml:space="preserve">Considerando que a aprovação da substância ativa </w:t>
      </w:r>
      <w:proofErr w:type="spellStart"/>
      <w:r w:rsidRPr="0019180A">
        <w:t>ciproconazol</w:t>
      </w:r>
      <w:proofErr w:type="spellEnd"/>
      <w:r w:rsidRPr="0019180A">
        <w:t xml:space="preserve"> expirou em 31 de maio de 2021</w:t>
      </w:r>
      <w:r w:rsidR="00C274F5" w:rsidRPr="0019180A">
        <w:t>; considerando que</w:t>
      </w:r>
      <w:r w:rsidRPr="0019180A">
        <w:t>, em setembro de 2018, foi apresentado um pedido de renovação, mas que este foi retirado em dezembro de 2018</w:t>
      </w:r>
      <w:r w:rsidR="00C274F5" w:rsidRPr="0019180A">
        <w:t>; considerando que</w:t>
      </w:r>
      <w:r w:rsidRPr="0019180A">
        <w:t xml:space="preserve"> foram revogadas todas as autorizações de produtos fitofarmacêuticos que contêm </w:t>
      </w:r>
      <w:proofErr w:type="spellStart"/>
      <w:r w:rsidRPr="0019180A">
        <w:t>ciproconazol</w:t>
      </w:r>
      <w:proofErr w:type="spellEnd"/>
      <w:r w:rsidRPr="0019180A">
        <w:t>;</w:t>
      </w:r>
    </w:p>
    <w:p w:rsidR="001A62D5" w:rsidRPr="0019180A" w:rsidRDefault="001A62D5" w:rsidP="001A62D5">
      <w:pPr>
        <w:pStyle w:val="NormalHanging12a"/>
      </w:pPr>
      <w:r w:rsidRPr="0019180A">
        <w:t>F.</w:t>
      </w:r>
      <w:r w:rsidRPr="0019180A">
        <w:tab/>
        <w:t xml:space="preserve">Considerando que o </w:t>
      </w:r>
      <w:proofErr w:type="spellStart"/>
      <w:r w:rsidRPr="0019180A">
        <w:t>ciproconazol</w:t>
      </w:r>
      <w:proofErr w:type="spellEnd"/>
      <w:r w:rsidRPr="0019180A">
        <w:t xml:space="preserve"> está classificado, em conformidade com o Regulamento (CE) n.º 1272/2008 do Parlamento Europeu e do Conselho</w:t>
      </w:r>
      <w:r w:rsidRPr="0019180A">
        <w:rPr>
          <w:rStyle w:val="FootnoteReference"/>
        </w:rPr>
        <w:footnoteReference w:id="8"/>
      </w:r>
      <w:r w:rsidRPr="0019180A">
        <w:t>, como tóxico para a reprodução da categoria 1B, tóxico por ingestão (toxicidade aguda 3), tóxico para o fígado (STOT RE 2), muito tóxico para os organismos aquáticos (toxicidade aquática aguda 1) e muito tóxico para os organismos aquáticos com efeitos duradouros (toxicidade aquática crónica 1)</w:t>
      </w:r>
      <w:r w:rsidRPr="0019180A">
        <w:rPr>
          <w:rStyle w:val="FootnoteReference"/>
        </w:rPr>
        <w:footnoteReference w:id="9"/>
      </w:r>
      <w:r w:rsidRPr="0019180A">
        <w:t>;</w:t>
      </w:r>
    </w:p>
    <w:p w:rsidR="001A62D5" w:rsidRPr="0019180A" w:rsidRDefault="001A62D5" w:rsidP="001A62D5">
      <w:pPr>
        <w:pStyle w:val="NormalHanging12a"/>
      </w:pPr>
      <w:r w:rsidRPr="0019180A">
        <w:t>G.</w:t>
      </w:r>
      <w:r w:rsidRPr="0019180A">
        <w:tab/>
        <w:t xml:space="preserve">Considerando que o </w:t>
      </w:r>
      <w:proofErr w:type="spellStart"/>
      <w:r w:rsidRPr="0019180A">
        <w:t>ciproconazol</w:t>
      </w:r>
      <w:proofErr w:type="spellEnd"/>
      <w:r w:rsidRPr="0019180A">
        <w:t xml:space="preserve"> pertence ao grupo dos </w:t>
      </w:r>
      <w:proofErr w:type="spellStart"/>
      <w:r w:rsidRPr="0019180A">
        <w:t>triazóis</w:t>
      </w:r>
      <w:proofErr w:type="spellEnd"/>
      <w:r w:rsidRPr="0019180A">
        <w:t xml:space="preserve"> inibidores da biossíntese do ergosterol e que, por conseguinte, pode causar efeitos de desregulação endócrina</w:t>
      </w:r>
      <w:r w:rsidRPr="0019180A">
        <w:rPr>
          <w:rStyle w:val="FootnoteReference"/>
        </w:rPr>
        <w:footnoteReference w:id="10"/>
      </w:r>
      <w:r w:rsidR="00C274F5" w:rsidRPr="0019180A">
        <w:t>; considerando que</w:t>
      </w:r>
      <w:r w:rsidRPr="0019180A">
        <w:t xml:space="preserve"> o seu potencial de desregulação endócrina não foi avaliado pela EFSA de acordo com os critérios científicos para a determinação das propriedades </w:t>
      </w:r>
      <w:proofErr w:type="spellStart"/>
      <w:r w:rsidRPr="0019180A">
        <w:t>desreguladoras</w:t>
      </w:r>
      <w:proofErr w:type="spellEnd"/>
      <w:r w:rsidRPr="0019180A">
        <w:t xml:space="preserve"> do sistema endócrino estabelecidos no Regulamento (UE) 2018/605</w:t>
      </w:r>
      <w:r w:rsidRPr="0019180A">
        <w:rPr>
          <w:rStyle w:val="FootnoteReference"/>
        </w:rPr>
        <w:footnoteReference w:id="11"/>
      </w:r>
      <w:r w:rsidRPr="0019180A">
        <w:t xml:space="preserve"> da Comissão, aplicável desde 10 de novembro de 2018</w:t>
      </w:r>
      <w:r w:rsidR="00C274F5" w:rsidRPr="0019180A">
        <w:t>; considerando que</w:t>
      </w:r>
      <w:r w:rsidRPr="0019180A">
        <w:t xml:space="preserve"> os efeitos relacionados com o sistema endócrino ocorrem frequentemente em doses baixas e que as substâncias </w:t>
      </w:r>
      <w:proofErr w:type="spellStart"/>
      <w:r w:rsidRPr="0019180A">
        <w:t>desreguladoras</w:t>
      </w:r>
      <w:proofErr w:type="spellEnd"/>
      <w:r w:rsidRPr="0019180A">
        <w:t xml:space="preserve"> do sistema endócrino frequentemente não têm um limiar seguro</w:t>
      </w:r>
      <w:r w:rsidRPr="0019180A">
        <w:rPr>
          <w:rStyle w:val="FootnoteReference"/>
        </w:rPr>
        <w:footnoteReference w:id="12"/>
      </w:r>
      <w:r w:rsidRPr="0019180A">
        <w:t>;</w:t>
      </w:r>
    </w:p>
    <w:p w:rsidR="001A62D5" w:rsidRPr="0019180A" w:rsidRDefault="001A62D5" w:rsidP="001A62D5">
      <w:pPr>
        <w:pStyle w:val="NormalHanging12a"/>
      </w:pPr>
      <w:r w:rsidRPr="0019180A">
        <w:t>H.</w:t>
      </w:r>
      <w:r w:rsidRPr="0019180A">
        <w:tab/>
        <w:t xml:space="preserve">Considerando que um número crescente de publicações salienta que os fungicidas </w:t>
      </w:r>
      <w:proofErr w:type="spellStart"/>
      <w:r w:rsidRPr="0019180A">
        <w:t>azólicos</w:t>
      </w:r>
      <w:proofErr w:type="spellEnd"/>
      <w:r w:rsidRPr="0019180A">
        <w:t xml:space="preserve"> constituem uma fonte significativa da incidência crescente de resistência </w:t>
      </w:r>
      <w:r w:rsidRPr="0019180A">
        <w:lastRenderedPageBreak/>
        <w:t xml:space="preserve">ambiental a </w:t>
      </w:r>
      <w:proofErr w:type="spellStart"/>
      <w:r w:rsidRPr="0019180A">
        <w:rPr>
          <w:i/>
        </w:rPr>
        <w:t>Aspergillus</w:t>
      </w:r>
      <w:proofErr w:type="spellEnd"/>
      <w:r w:rsidRPr="0019180A">
        <w:rPr>
          <w:i/>
        </w:rPr>
        <w:t xml:space="preserve"> </w:t>
      </w:r>
      <w:proofErr w:type="spellStart"/>
      <w:r w:rsidRPr="0019180A">
        <w:rPr>
          <w:i/>
        </w:rPr>
        <w:t>spp</w:t>
      </w:r>
      <w:proofErr w:type="spellEnd"/>
      <w:r w:rsidRPr="0019180A">
        <w:rPr>
          <w:rStyle w:val="FootnoteReference"/>
        </w:rPr>
        <w:footnoteReference w:id="13"/>
      </w:r>
      <w:r w:rsidR="00C274F5" w:rsidRPr="0019180A">
        <w:t>; considerando que</w:t>
      </w:r>
      <w:r w:rsidRPr="0019180A">
        <w:t xml:space="preserve"> a Comissão solicitou à EFSA que avaliasse o impacto da utilização de fungicidas </w:t>
      </w:r>
      <w:proofErr w:type="spellStart"/>
      <w:r w:rsidRPr="0019180A">
        <w:t>azólicos</w:t>
      </w:r>
      <w:proofErr w:type="spellEnd"/>
      <w:r w:rsidRPr="0019180A">
        <w:t xml:space="preserve">, exceto como medicamentos para uso humano, no desenvolvimento de </w:t>
      </w:r>
      <w:proofErr w:type="spellStart"/>
      <w:r w:rsidRPr="0019180A">
        <w:rPr>
          <w:i/>
        </w:rPr>
        <w:t>Aspergillus</w:t>
      </w:r>
      <w:proofErr w:type="spellEnd"/>
      <w:r w:rsidRPr="0019180A">
        <w:rPr>
          <w:i/>
        </w:rPr>
        <w:t xml:space="preserve"> </w:t>
      </w:r>
      <w:proofErr w:type="spellStart"/>
      <w:r w:rsidRPr="0019180A">
        <w:rPr>
          <w:i/>
        </w:rPr>
        <w:t>spp</w:t>
      </w:r>
      <w:proofErr w:type="spellEnd"/>
      <w:r w:rsidRPr="0019180A">
        <w:t xml:space="preserve"> resistentes aos </w:t>
      </w:r>
      <w:proofErr w:type="spellStart"/>
      <w:r w:rsidRPr="0019180A">
        <w:t>azóis</w:t>
      </w:r>
      <w:proofErr w:type="spellEnd"/>
      <w:r w:rsidR="00C274F5" w:rsidRPr="0019180A">
        <w:t>; considerando que</w:t>
      </w:r>
      <w:r w:rsidRPr="0019180A">
        <w:t xml:space="preserve"> o relatório científico solicitado ainda não foi publicado e só deverá estar concluído em dezembro de 2024</w:t>
      </w:r>
      <w:r w:rsidRPr="0019180A">
        <w:rPr>
          <w:rStyle w:val="FootnoteReference"/>
        </w:rPr>
        <w:footnoteReference w:id="14"/>
      </w:r>
      <w:r w:rsidRPr="0019180A">
        <w:t>;</w:t>
      </w:r>
    </w:p>
    <w:p w:rsidR="001A62D5" w:rsidRPr="0019180A" w:rsidRDefault="001A62D5" w:rsidP="001A62D5">
      <w:pPr>
        <w:pStyle w:val="NormalHanging12a"/>
      </w:pPr>
      <w:r w:rsidRPr="0019180A">
        <w:rPr>
          <w:color w:val="000000" w:themeColor="text1"/>
        </w:rPr>
        <w:t>I.</w:t>
      </w:r>
      <w:r w:rsidRPr="0019180A">
        <w:rPr>
          <w:color w:val="000000" w:themeColor="text1"/>
        </w:rPr>
        <w:tab/>
      </w:r>
      <w:r w:rsidRPr="0019180A">
        <w:t xml:space="preserve">Considerando que, por conseguinte, é adequado suprimir os limites máximos de resíduos (LMR) em vigor para o </w:t>
      </w:r>
      <w:proofErr w:type="spellStart"/>
      <w:r w:rsidRPr="0019180A">
        <w:t>ciproconazol</w:t>
      </w:r>
      <w:proofErr w:type="spellEnd"/>
      <w:r w:rsidRPr="0019180A">
        <w:t xml:space="preserve"> fixados no anexo II do Regulamento (CE) n.º 396/2005, em conformidade com o artigo 17.º do mesmo regulamento, segundo o qual a Comissão deve suprimir os LMR fixados nos anexos II e III do referido regulamento e estabelecer o valor por defeito de 0,01 mg/kg ou o limite de determinação pertinente, sem solicitar o parecer da EFSA, se a autorização da substância ativa em causa tiver sido revogada;</w:t>
      </w:r>
    </w:p>
    <w:p w:rsidR="001A62D5" w:rsidRPr="0019180A" w:rsidRDefault="001A62D5" w:rsidP="001A62D5">
      <w:pPr>
        <w:pStyle w:val="NormalHanging12a"/>
      </w:pPr>
      <w:proofErr w:type="gramStart"/>
      <w:r w:rsidRPr="0019180A">
        <w:t>J.</w:t>
      </w:r>
      <w:r w:rsidRPr="0019180A">
        <w:tab/>
        <w:t>Considerando</w:t>
      </w:r>
      <w:proofErr w:type="gramEnd"/>
      <w:r w:rsidRPr="0019180A">
        <w:t xml:space="preserve"> que, no projeto de regulamento da Comissão, esta propõe, no entanto, manter os LMR para um grande número de produtos (cereais, sementes, carne, fígado e rim) acima do limite de determinação pertinente ou do valor por defeito de 0,01 mg/kg, com base nos LMR estabelecidos pela Comissão do </w:t>
      </w:r>
      <w:proofErr w:type="spellStart"/>
      <w:r w:rsidRPr="0019180A">
        <w:t>Codex</w:t>
      </w:r>
      <w:proofErr w:type="spellEnd"/>
      <w:r w:rsidRPr="0019180A">
        <w:t xml:space="preserve"> </w:t>
      </w:r>
      <w:proofErr w:type="spellStart"/>
      <w:r w:rsidRPr="0019180A">
        <w:t>Alimentarius</w:t>
      </w:r>
      <w:proofErr w:type="spellEnd"/>
      <w:r w:rsidRPr="0019180A">
        <w:t xml:space="preserve"> (LCX);</w:t>
      </w:r>
    </w:p>
    <w:p w:rsidR="001A62D5" w:rsidRPr="0019180A" w:rsidRDefault="001A62D5" w:rsidP="001A62D5">
      <w:pPr>
        <w:pStyle w:val="NormalHanging12a"/>
      </w:pPr>
      <w:r w:rsidRPr="0019180A">
        <w:t>K.</w:t>
      </w:r>
      <w:r w:rsidRPr="0019180A">
        <w:tab/>
      </w:r>
      <w:r w:rsidRPr="0019180A">
        <w:rPr>
          <w:color w:val="000000" w:themeColor="text1"/>
        </w:rPr>
        <w:t xml:space="preserve">Considerando que a Comissão propõe fixar os LMR nos seus níveis de LCX para ervilhas (sem vagem), feijões, ervilhas, cevada, trigo mourisco e outros </w:t>
      </w:r>
      <w:proofErr w:type="spellStart"/>
      <w:r w:rsidRPr="0019180A">
        <w:rPr>
          <w:color w:val="000000" w:themeColor="text1"/>
        </w:rPr>
        <w:t>pseudocereais</w:t>
      </w:r>
      <w:proofErr w:type="spellEnd"/>
      <w:r w:rsidRPr="0019180A">
        <w:rPr>
          <w:color w:val="000000" w:themeColor="text1"/>
        </w:rPr>
        <w:t>, milho, milho</w:t>
      </w:r>
      <w:r w:rsidRPr="0019180A">
        <w:rPr>
          <w:color w:val="000000" w:themeColor="text1"/>
        </w:rPr>
        <w:noBreakHyphen/>
        <w:t>miúdo, aveia, centeio, trigo, grãos de café e beterraba sacarina (raiz), músculo e gordura de suínos, bovinos, ovinos, caprinos e equídeos, músculo, gordura e fígado de aves de capoeira, leite de vaca, ovelha, cabra e égua e ovos de aves</w:t>
      </w:r>
      <w:r w:rsidR="00C274F5" w:rsidRPr="0019180A">
        <w:rPr>
          <w:color w:val="000000" w:themeColor="text1"/>
        </w:rPr>
        <w:t>; considerando que</w:t>
      </w:r>
      <w:r w:rsidRPr="0019180A">
        <w:rPr>
          <w:color w:val="000000" w:themeColor="text1"/>
        </w:rPr>
        <w:t xml:space="preserve"> isso significa que os LMR para fígado e rins de suínos, bovinos, ovinos, caprinos e equídeos seriam mantidos nos atuais 0,5 mg/kg, para sementes de colza (sementes de nabo</w:t>
      </w:r>
      <w:r w:rsidRPr="0019180A">
        <w:rPr>
          <w:color w:val="000000" w:themeColor="text1"/>
        </w:rPr>
        <w:noBreakHyphen/>
        <w:t>colza) em 0,4 mg/kg e para sementes de soja em 0,07 mg/kg</w:t>
      </w:r>
      <w:r w:rsidR="00C274F5" w:rsidRPr="0019180A">
        <w:rPr>
          <w:color w:val="000000" w:themeColor="text1"/>
        </w:rPr>
        <w:t>; considerando que</w:t>
      </w:r>
      <w:r w:rsidRPr="0019180A">
        <w:rPr>
          <w:color w:val="000000" w:themeColor="text1"/>
        </w:rPr>
        <w:t>, para todos os outros produtos relativamente aos quais não existem LCX ou tolerâncias de importação, os LMR são reduzidos para limites de determinação específicos por produto que variam entre 0,01 e 0,05 mg/kg;</w:t>
      </w:r>
    </w:p>
    <w:p w:rsidR="001A62D5" w:rsidRPr="0019180A" w:rsidRDefault="001A62D5" w:rsidP="001A62D5">
      <w:pPr>
        <w:pStyle w:val="NormalHanging12a"/>
      </w:pPr>
      <w:r w:rsidRPr="0019180A">
        <w:t>L.</w:t>
      </w:r>
      <w:r w:rsidRPr="0019180A">
        <w:tab/>
        <w:t xml:space="preserve">Considerando que, em 2024, a Comissão reduziu os LMR do </w:t>
      </w:r>
      <w:proofErr w:type="spellStart"/>
      <w:r w:rsidRPr="0019180A">
        <w:t>tiaclopride</w:t>
      </w:r>
      <w:proofErr w:type="spellEnd"/>
      <w:r w:rsidRPr="0019180A">
        <w:t xml:space="preserve">, uma substância ativa classificada como tóxica para a reprodução da categoria 1B, para o limite de determinação pertinente, alegando que «[n]a pendência da conclusão desta avaliação dos riscos adicional [dos efeitos no sistema endócrino] pela Autoridade, e tendo em conta as informações pertinentes disponíveis no que diz respeito aos efeitos potencialmente nocivos para a saúde humana, é adequado reduzir provisoriamente os </w:t>
      </w:r>
      <w:r w:rsidRPr="0019180A">
        <w:lastRenderedPageBreak/>
        <w:t>LMR [...] [para esses produtos]»</w:t>
      </w:r>
      <w:r w:rsidRPr="0019180A">
        <w:rPr>
          <w:rStyle w:val="FootnoteReference"/>
        </w:rPr>
        <w:footnoteReference w:id="15"/>
      </w:r>
      <w:r w:rsidRPr="0019180A">
        <w:t>;</w:t>
      </w:r>
    </w:p>
    <w:p w:rsidR="001A62D5" w:rsidRPr="0019180A" w:rsidRDefault="001A62D5" w:rsidP="001A62D5">
      <w:pPr>
        <w:pStyle w:val="NormalHanging12a"/>
      </w:pPr>
      <w:r w:rsidRPr="0019180A">
        <w:t>M.</w:t>
      </w:r>
      <w:r w:rsidRPr="0019180A">
        <w:tab/>
        <w:t xml:space="preserve">Considerando que, no Regulamento (CE) n.º 396/2005, o considerando 5 prevê que não devem estar presentes resíduos em níveis que representem um risco inaceitável para os seres humanos e, sempre que relevante, para os animais; </w:t>
      </w:r>
    </w:p>
    <w:p w:rsidR="001A62D5" w:rsidRPr="0019180A" w:rsidRDefault="001A62D5" w:rsidP="001A62D5">
      <w:pPr>
        <w:pStyle w:val="NormalHanging12a"/>
      </w:pPr>
      <w:r w:rsidRPr="0019180A">
        <w:t>N.</w:t>
      </w:r>
      <w:r w:rsidRPr="0019180A">
        <w:tab/>
        <w:t>Considerando que o artigo 4.º, n.º 2, primeiro parágrafo, alínea a), do Regulamento (CE) n.º 1107/2009 estabelece que os resíduos de produtos fitofarmacêuticos não devem ter efeitos nocivos na saúde humana, nomeadamente na dos grupos de pessoas vulneráveis, ou na saúde animal, tendo em conta os efeitos cumulativos e sinérgicos conhecidos</w:t>
      </w:r>
      <w:r w:rsidR="00C274F5" w:rsidRPr="0019180A">
        <w:t>; considerando que</w:t>
      </w:r>
      <w:r w:rsidRPr="0019180A">
        <w:t xml:space="preserve"> o anexo II, ponto 3.6.4, do referido regulamento estabelece que uma substância ativa classificada, nos termos do disposto no Regulamento (CE) n.º 1272/2008, como tóxica para a reprodução da categoria 1A ou 1B, só é aprovada se «os resíduos da substância ativa [...] em causa nos géneros alimentícios e nos alimentos para animais não excederem o valor por defeito estabelecido nos termos da alínea b) do n.º 1 do artigo 18.º do Regulamento (CE) n.º 396/2005.»</w:t>
      </w:r>
      <w:r w:rsidR="00C274F5" w:rsidRPr="0019180A">
        <w:t>; considerando que</w:t>
      </w:r>
      <w:r w:rsidRPr="0019180A">
        <w:t xml:space="preserve"> o artigo 18.º, n.º 1, alínea b), do Regulamento (CE) n.º 396/2005 estabelece um valor por defeito de 0,01 mg/kg;</w:t>
      </w:r>
    </w:p>
    <w:p w:rsidR="001A62D5" w:rsidRPr="0019180A" w:rsidRDefault="001A62D5" w:rsidP="001A62D5">
      <w:pPr>
        <w:pStyle w:val="NormalHanging12a"/>
      </w:pPr>
      <w:r w:rsidRPr="0019180A">
        <w:t>O.</w:t>
      </w:r>
      <w:r w:rsidRPr="0019180A">
        <w:tab/>
        <w:t>Considerando que o artigo 3.º, n.º 2, alínea g), do Regulamento (CE) n.º 396/2005 estabelece que a tolerância de importação é um LMR fixado para produtos importados sempre que «a utilização da substância ativa em produtos fitofarmacêuticos em certas mercadorias não seja autorizada na Comunidade por razões não referentes à saúde pública para um produto específico e uma utilização específica»</w:t>
      </w:r>
      <w:r w:rsidR="00C274F5" w:rsidRPr="0019180A">
        <w:t>; considerando que</w:t>
      </w:r>
      <w:r w:rsidRPr="0019180A">
        <w:t xml:space="preserve"> o </w:t>
      </w:r>
      <w:proofErr w:type="spellStart"/>
      <w:r w:rsidRPr="0019180A">
        <w:t>ciproconazol</w:t>
      </w:r>
      <w:proofErr w:type="spellEnd"/>
      <w:r w:rsidRPr="0019180A">
        <w:t xml:space="preserve"> não satisfaz estes critérios, tendo sido proibido por razões de saúde pública, uma vez que é classificado como tóxico para a reprodução da categoria 1B;</w:t>
      </w:r>
    </w:p>
    <w:p w:rsidR="001A62D5" w:rsidRPr="0019180A" w:rsidRDefault="001A62D5" w:rsidP="001A62D5">
      <w:pPr>
        <w:pStyle w:val="NormalHanging12a"/>
      </w:pPr>
      <w:r w:rsidRPr="0019180A">
        <w:t>P.</w:t>
      </w:r>
      <w:r w:rsidRPr="0019180A">
        <w:tab/>
        <w:t>Considerando que o artigo 5.º, n.º 1, do Regulamento (CE) n.º 178/2002 prevê que a legislação alimentar deve procurar alcançar um ou mais dos objetivos gerais de um elevado nível de proteção da vida e da saúde humanas, a proteção dos interesses dos consumidores, incluindo as boas práticas no comércio de géneros alimentícios, tendo em conta, sempre que adequado, a proteção da saúde e do bem</w:t>
      </w:r>
      <w:r w:rsidRPr="0019180A">
        <w:noBreakHyphen/>
        <w:t>estar animal, a fitossanidade e o ambiente;</w:t>
      </w:r>
    </w:p>
    <w:p w:rsidR="001A62D5" w:rsidRPr="0019180A" w:rsidRDefault="001A62D5" w:rsidP="001A62D5">
      <w:pPr>
        <w:pStyle w:val="NormalHanging12a"/>
      </w:pPr>
      <w:r w:rsidRPr="0019180A">
        <w:t>Q.</w:t>
      </w:r>
      <w:r w:rsidRPr="0019180A">
        <w:tab/>
        <w:t>Considerando que, na Comunicação, de 20 de maio de 2020, intitulada «Estratégia do Prado ao Prato para um sistema alimentar justo, saudável e respeitador do ambiente»</w:t>
      </w:r>
      <w:r w:rsidRPr="0019180A">
        <w:rPr>
          <w:rStyle w:val="FootnoteReference"/>
        </w:rPr>
        <w:footnoteReference w:id="16"/>
      </w:r>
      <w:r w:rsidRPr="0019180A">
        <w:t>, a Comissão anunciou que «[a] UE apoiará a transição mundial para sistemas agroalimentares sustentáveis, em consonância com os objetivos da presente estratégia e com os ODS», e que «[a] UE pode desempenhar um papel fundamental na definição de padrões mundiais»</w:t>
      </w:r>
      <w:r w:rsidR="00C274F5" w:rsidRPr="0019180A">
        <w:t>; considerando que</w:t>
      </w:r>
      <w:r w:rsidRPr="0019180A">
        <w:t xml:space="preserve"> a Comissão afirmou explicitamente na estratégia que «[u]m sistema alimentar da UE mais sustentável exige também práticas cada vez mais sustentáveis por parte dos nossos parceiros comerciais. A fim de promover uma transição gradual para a utilização de produtos fitofarmacêuticos mais seguros, a UE examinará, em conformidade com as regras da OMC e na sequência de uma avaliação dos riscos, a possibilidade de rever as tolerâncias de importação para as substâncias que cumpram os "critérios de exclusão" e apresentem um elevado nível de risco para a saúde </w:t>
      </w:r>
      <w:r w:rsidRPr="0019180A">
        <w:lastRenderedPageBreak/>
        <w:t>humana»;</w:t>
      </w:r>
    </w:p>
    <w:p w:rsidR="001A62D5" w:rsidRPr="0019180A" w:rsidRDefault="001A62D5" w:rsidP="001A62D5">
      <w:pPr>
        <w:pStyle w:val="NormalHanging12a"/>
      </w:pPr>
      <w:r w:rsidRPr="0019180A">
        <w:t>R.</w:t>
      </w:r>
      <w:r w:rsidRPr="0019180A">
        <w:tab/>
        <w:t xml:space="preserve">Considerando que a prática de fixar LMR elevados promove uma dualidade de critérios entre os agricultores da União e os agricultores de países terceiros, porquanto os agricultores de países terceiros podem continuar a produzir os alimentos em causa utilizando </w:t>
      </w:r>
      <w:proofErr w:type="spellStart"/>
      <w:r w:rsidRPr="0019180A">
        <w:t>ciproconazol</w:t>
      </w:r>
      <w:proofErr w:type="spellEnd"/>
      <w:r w:rsidRPr="0019180A">
        <w:t xml:space="preserve"> e exportá</w:t>
      </w:r>
      <w:r w:rsidRPr="0019180A">
        <w:noBreakHyphen/>
        <w:t>los para a União, o que coloca os agricultores da União em desvantagem concorrencial</w:t>
      </w:r>
      <w:r w:rsidR="00C274F5" w:rsidRPr="0019180A">
        <w:t>; considerando que</w:t>
      </w:r>
      <w:r w:rsidRPr="0019180A">
        <w:t>, por outro lado, a utilização deste pesticida põe em risco a saúde dos trabalhadores agrícolas, a saúde da população em geral e o ambiente nos países produtores;</w:t>
      </w:r>
    </w:p>
    <w:p w:rsidR="001A62D5" w:rsidRPr="0019180A" w:rsidRDefault="001A62D5" w:rsidP="001A62D5">
      <w:pPr>
        <w:pStyle w:val="NormalHanging12a"/>
      </w:pPr>
      <w:proofErr w:type="gramStart"/>
      <w:r w:rsidRPr="0019180A">
        <w:t>S.</w:t>
      </w:r>
      <w:r w:rsidRPr="0019180A">
        <w:tab/>
        <w:t>Considerando</w:t>
      </w:r>
      <w:proofErr w:type="gramEnd"/>
      <w:r w:rsidRPr="0019180A">
        <w:t xml:space="preserve"> que o artigo 191.º, n.º 2, do TFUE fixa o princípio da precaução como um dos princípios fundamentais da União;</w:t>
      </w:r>
    </w:p>
    <w:p w:rsidR="001A62D5" w:rsidRPr="0019180A" w:rsidRDefault="001A62D5" w:rsidP="001A62D5">
      <w:pPr>
        <w:pStyle w:val="NormalHanging12a"/>
      </w:pPr>
      <w:proofErr w:type="gramStart"/>
      <w:r w:rsidRPr="0019180A">
        <w:t>T.</w:t>
      </w:r>
      <w:r w:rsidRPr="0019180A">
        <w:tab/>
        <w:t>Considerando</w:t>
      </w:r>
      <w:proofErr w:type="gramEnd"/>
      <w:r w:rsidRPr="0019180A">
        <w:t xml:space="preserve"> que a Comissão deve proteger o ambiente e os cidadãos europeus com base nas informações científicas disponíveis, recorrendo às obrigações e às possibilidades jurídicas que o Regulamento (CE) n.º 396/2005 e o Regulamento (CE) n.º 178/2002 preveem, a fim de assegurar um elevado nível de proteção da saúde humana e animal e do ambiente;</w:t>
      </w:r>
    </w:p>
    <w:p w:rsidR="001A62D5" w:rsidRPr="0019180A" w:rsidRDefault="001A62D5" w:rsidP="001A62D5">
      <w:pPr>
        <w:pStyle w:val="NormalHanging12a"/>
      </w:pPr>
      <w:proofErr w:type="gramStart"/>
      <w:r w:rsidRPr="0019180A">
        <w:t>U.</w:t>
      </w:r>
      <w:r w:rsidRPr="0019180A">
        <w:tab/>
        <w:t>Considerando</w:t>
      </w:r>
      <w:proofErr w:type="gramEnd"/>
      <w:r w:rsidRPr="0019180A">
        <w:t xml:space="preserve"> que os LMR propostos não protegem a saúde dos cidadãos na Europa e que, por conseguinte, são contrários aos Regulamentos (CE) n.º 396/2005 e (CE) n.º 178/2002;</w:t>
      </w:r>
    </w:p>
    <w:p w:rsidR="001A62D5" w:rsidRPr="0019180A" w:rsidRDefault="001A62D5" w:rsidP="001A62D5">
      <w:pPr>
        <w:pStyle w:val="NormalHanging12a"/>
      </w:pPr>
      <w:proofErr w:type="gramStart"/>
      <w:r w:rsidRPr="0019180A">
        <w:t>V.</w:t>
      </w:r>
      <w:r w:rsidRPr="0019180A">
        <w:tab/>
        <w:t>Considerando</w:t>
      </w:r>
      <w:proofErr w:type="gramEnd"/>
      <w:r w:rsidRPr="0019180A">
        <w:t xml:space="preserve"> que não podem ser fixados LMR para substâncias ativas que não estejam aprovadas na União devido a preocupações relacionadas com a saúde pública</w:t>
      </w:r>
      <w:r w:rsidR="00C274F5" w:rsidRPr="0019180A">
        <w:t>; considerando que</w:t>
      </w:r>
      <w:r w:rsidRPr="0019180A">
        <w:t xml:space="preserve">, por conseguinte, nenhum LCX que exceda o limite de determinação pertinente ou o valor por defeito de 0,01 mg/kg deve ser considerado seguro para os consumidores, uma vez que o </w:t>
      </w:r>
      <w:proofErr w:type="spellStart"/>
      <w:r w:rsidRPr="0019180A">
        <w:t>ciproconazol</w:t>
      </w:r>
      <w:proofErr w:type="spellEnd"/>
      <w:r w:rsidRPr="0019180A">
        <w:t xml:space="preserve"> está classificado como tóxico para a reprodução da categoria 1B;</w:t>
      </w:r>
    </w:p>
    <w:p w:rsidR="001A62D5" w:rsidRPr="0019180A" w:rsidRDefault="001A62D5" w:rsidP="001A62D5">
      <w:pPr>
        <w:pStyle w:val="NormalHanging12a"/>
      </w:pPr>
      <w:proofErr w:type="gramStart"/>
      <w:r w:rsidRPr="0019180A">
        <w:t>W.</w:t>
      </w:r>
      <w:r w:rsidRPr="0019180A">
        <w:tab/>
        <w:t>Considerando</w:t>
      </w:r>
      <w:proofErr w:type="gramEnd"/>
      <w:r w:rsidRPr="0019180A">
        <w:t xml:space="preserve"> que, aquando da fixação de LMR, devem ser tidos em conta os efeitos cumulativos e sinérgicos, sendo da maior importância acelerar, com caráter de urgência, o desenvolvimento de métodos adequados para esta avaliação;</w:t>
      </w:r>
    </w:p>
    <w:p w:rsidR="001A62D5" w:rsidRPr="0019180A" w:rsidRDefault="001A62D5" w:rsidP="001A62D5">
      <w:pPr>
        <w:pStyle w:val="NormalHanging12a"/>
      </w:pPr>
      <w:proofErr w:type="gramStart"/>
      <w:r w:rsidRPr="0019180A">
        <w:t>1.</w:t>
      </w:r>
      <w:r w:rsidRPr="0019180A">
        <w:tab/>
        <w:t>Opõe</w:t>
      </w:r>
      <w:proofErr w:type="gramEnd"/>
      <w:r w:rsidRPr="0019180A">
        <w:noBreakHyphen/>
        <w:t>se à aprovação do projeto de regulamento da Comissão;</w:t>
      </w:r>
    </w:p>
    <w:p w:rsidR="001A62D5" w:rsidRPr="0019180A" w:rsidRDefault="001A62D5" w:rsidP="001A62D5">
      <w:pPr>
        <w:pStyle w:val="NormalHanging12a"/>
        <w:rPr>
          <w:szCs w:val="24"/>
        </w:rPr>
      </w:pPr>
      <w:proofErr w:type="gramStart"/>
      <w:r w:rsidRPr="0019180A">
        <w:t>2.</w:t>
      </w:r>
      <w:r w:rsidRPr="0019180A">
        <w:tab/>
        <w:t>Entende</w:t>
      </w:r>
      <w:proofErr w:type="gramEnd"/>
      <w:r w:rsidRPr="0019180A">
        <w:t xml:space="preserve"> que a proposta de regulamento da Comissão não é compatível com a finalidade e o conteúdo dos Regulamentos (CE) n.º 396/2005 e (CE) n.º 178/2002, nem com o Regulamento (CE) n.º 1107/2009, notadamente o ponto 3.6.4 do seu anexo II;</w:t>
      </w:r>
    </w:p>
    <w:p w:rsidR="001A62D5" w:rsidRPr="0019180A" w:rsidRDefault="001A62D5" w:rsidP="001A62D5">
      <w:pPr>
        <w:pStyle w:val="NormalHanging12a"/>
      </w:pPr>
      <w:r w:rsidRPr="0019180A">
        <w:t>3.</w:t>
      </w:r>
      <w:r w:rsidRPr="0019180A">
        <w:tab/>
        <w:t>Solicita à Comissão que aplique o princípio da precaução, que retire o seu projeto de regulamento e que apresente um novo projeto ao comité;</w:t>
      </w:r>
    </w:p>
    <w:p w:rsidR="001A62D5" w:rsidRPr="0019180A" w:rsidRDefault="001A62D5" w:rsidP="001A62D5">
      <w:pPr>
        <w:pStyle w:val="NormalHanging12a"/>
      </w:pPr>
      <w:r w:rsidRPr="0019180A">
        <w:t>4.</w:t>
      </w:r>
      <w:r w:rsidRPr="0019180A">
        <w:tab/>
        <w:t xml:space="preserve">Solicita à Comissão que apresente um novo projeto de regulamento ao comité com vista a reduzir todos os LMR de </w:t>
      </w:r>
      <w:proofErr w:type="spellStart"/>
      <w:r w:rsidRPr="0019180A">
        <w:t>ciproconazol</w:t>
      </w:r>
      <w:proofErr w:type="spellEnd"/>
      <w:r w:rsidRPr="0019180A">
        <w:t xml:space="preserve"> para o limite de determinação ou o valor por defeito de 0,01 mg/kg para todas as utilizações e que recuse todo e qualquer pedido de tolerâncias de importação;</w:t>
      </w:r>
    </w:p>
    <w:p w:rsidR="001A62D5" w:rsidRPr="0019180A" w:rsidRDefault="001A62D5" w:rsidP="001A62D5">
      <w:pPr>
        <w:pStyle w:val="NormalHanging12a"/>
      </w:pPr>
      <w:proofErr w:type="gramStart"/>
      <w:r w:rsidRPr="0019180A">
        <w:t>5.</w:t>
      </w:r>
      <w:r w:rsidRPr="0019180A">
        <w:tab/>
        <w:t>Está</w:t>
      </w:r>
      <w:proofErr w:type="gramEnd"/>
      <w:r w:rsidRPr="0019180A">
        <w:t xml:space="preserve"> ciente de que a EFSA está a desenvolver métodos para avaliar os riscos cumulativos, mas observa também que o problema da avaliação dos efeitos cumulativos dos pesticidas e dos resíduos é conhecido há décadas; solicita, por conseguinte, à EFSA e à Comissão que resolvam o problema com a maior urgência;</w:t>
      </w:r>
    </w:p>
    <w:p w:rsidR="001A62D5" w:rsidRPr="0019180A" w:rsidRDefault="001A62D5" w:rsidP="00C446BF">
      <w:pPr>
        <w:pStyle w:val="NormalHanging12a"/>
      </w:pPr>
      <w:proofErr w:type="gramStart"/>
      <w:r w:rsidRPr="0019180A">
        <w:lastRenderedPageBreak/>
        <w:t>6.</w:t>
      </w:r>
      <w:r w:rsidRPr="0019180A">
        <w:tab/>
        <w:t>Encarrega</w:t>
      </w:r>
      <w:proofErr w:type="gramEnd"/>
      <w:r w:rsidRPr="0019180A">
        <w:t xml:space="preserve"> a sua Presidente de transmitir a presente resolução ao Conselho, à Comissão e aos governos e parlamentos dos Estados</w:t>
      </w:r>
      <w:r w:rsidRPr="0019180A">
        <w:noBreakHyphen/>
        <w:t xml:space="preserve">Membros. </w:t>
      </w:r>
    </w:p>
    <w:p w:rsidR="00E365E1" w:rsidRPr="0019180A" w:rsidRDefault="00E365E1" w:rsidP="0009244E">
      <w:bookmarkStart w:id="8" w:name="TextBodyEnd"/>
      <w:bookmarkEnd w:id="8"/>
    </w:p>
    <w:sectPr w:rsidR="00E365E1" w:rsidRPr="0019180A" w:rsidSect="001A43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44E" w:rsidRPr="001A43C8" w:rsidRDefault="0009244E">
      <w:r w:rsidRPr="001A43C8">
        <w:separator/>
      </w:r>
    </w:p>
  </w:endnote>
  <w:endnote w:type="continuationSeparator" w:id="0">
    <w:p w:rsidR="0009244E" w:rsidRPr="001A43C8" w:rsidRDefault="0009244E">
      <w:r w:rsidRPr="001A43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43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43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43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44E" w:rsidRPr="001A43C8" w:rsidRDefault="0009244E">
      <w:r w:rsidRPr="001A43C8">
        <w:separator/>
      </w:r>
    </w:p>
  </w:footnote>
  <w:footnote w:type="continuationSeparator" w:id="0">
    <w:p w:rsidR="0009244E" w:rsidRPr="001A43C8" w:rsidRDefault="0009244E">
      <w:r w:rsidRPr="001A43C8">
        <w:continuationSeparator/>
      </w:r>
    </w:p>
  </w:footnote>
  <w:footnote w:id="1">
    <w:p w:rsidR="001A62D5" w:rsidRPr="0019180A" w:rsidRDefault="001A62D5" w:rsidP="001A43C8">
      <w:pPr>
        <w:pStyle w:val="FootnoteText"/>
        <w:ind w:left="567" w:hanging="567"/>
        <w:rPr>
          <w:sz w:val="24"/>
          <w:lang w:val="da-DK"/>
        </w:rPr>
      </w:pPr>
      <w:r w:rsidRPr="0019180A">
        <w:rPr>
          <w:rStyle w:val="FootnoteReference"/>
          <w:sz w:val="24"/>
          <w:lang w:val="pt-PT"/>
        </w:rPr>
        <w:footnoteRef/>
      </w:r>
      <w:r w:rsidR="001A43C8" w:rsidRPr="0019180A">
        <w:rPr>
          <w:sz w:val="24"/>
          <w:lang w:val="da-DK"/>
        </w:rPr>
        <w:t xml:space="preserve"> </w:t>
      </w:r>
      <w:r w:rsidR="001A43C8" w:rsidRPr="0019180A">
        <w:rPr>
          <w:sz w:val="24"/>
          <w:lang w:val="da-DK"/>
        </w:rPr>
        <w:tab/>
      </w:r>
      <w:r w:rsidRPr="0019180A">
        <w:rPr>
          <w:sz w:val="24"/>
          <w:lang w:val="da-DK"/>
        </w:rPr>
        <w:t>JO L 70 de 16.3.2005, p. 1.</w:t>
      </w:r>
    </w:p>
  </w:footnote>
  <w:footnote w:id="2">
    <w:p w:rsidR="001A62D5" w:rsidRPr="0019180A" w:rsidRDefault="001A62D5" w:rsidP="001A43C8">
      <w:pPr>
        <w:pStyle w:val="FootnoteText"/>
        <w:ind w:left="567" w:hanging="567"/>
        <w:rPr>
          <w:sz w:val="24"/>
          <w:lang w:val="da-DK"/>
        </w:rPr>
      </w:pPr>
      <w:r w:rsidRPr="0019180A">
        <w:rPr>
          <w:rStyle w:val="FootnoteReference"/>
          <w:sz w:val="24"/>
          <w:lang w:val="pt-PT"/>
        </w:rPr>
        <w:footnoteRef/>
      </w:r>
      <w:r w:rsidR="001A43C8" w:rsidRPr="0019180A">
        <w:rPr>
          <w:sz w:val="24"/>
          <w:lang w:val="da-DK"/>
        </w:rPr>
        <w:t xml:space="preserve"> </w:t>
      </w:r>
      <w:r w:rsidR="001A43C8" w:rsidRPr="0019180A">
        <w:rPr>
          <w:sz w:val="24"/>
          <w:lang w:val="da-DK"/>
        </w:rPr>
        <w:tab/>
      </w:r>
      <w:r w:rsidRPr="0019180A">
        <w:rPr>
          <w:sz w:val="24"/>
          <w:lang w:val="da-DK"/>
        </w:rPr>
        <w:t>JO L 309 de 24.11.2009, p. 1.</w:t>
      </w:r>
    </w:p>
  </w:footnote>
  <w:footnote w:id="3">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Pr="0019180A">
        <w:rPr>
          <w:sz w:val="24"/>
          <w:lang w:val="pt-PT"/>
        </w:rPr>
        <w:t>JO L 31 de 1.2.2002, p. 1.</w:t>
      </w:r>
    </w:p>
  </w:footnote>
  <w:footnote w:id="4">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Pr="0019180A">
        <w:rPr>
          <w:sz w:val="24"/>
          <w:lang w:val="pt-PT"/>
        </w:rPr>
        <w:t>EFSA, «</w:t>
      </w:r>
      <w:proofErr w:type="spellStart"/>
      <w:r w:rsidRPr="0019180A">
        <w:rPr>
          <w:sz w:val="24"/>
          <w:lang w:val="pt-PT"/>
        </w:rPr>
        <w:t>Reasoned</w:t>
      </w:r>
      <w:proofErr w:type="spellEnd"/>
      <w:r w:rsidRPr="0019180A">
        <w:rPr>
          <w:sz w:val="24"/>
          <w:lang w:val="pt-PT"/>
        </w:rPr>
        <w:t xml:space="preserve"> </w:t>
      </w:r>
      <w:proofErr w:type="spellStart"/>
      <w:r w:rsidRPr="0019180A">
        <w:rPr>
          <w:sz w:val="24"/>
          <w:lang w:val="pt-PT"/>
        </w:rPr>
        <w:t>opinion</w:t>
      </w:r>
      <w:proofErr w:type="spellEnd"/>
      <w:r w:rsidRPr="0019180A">
        <w:rPr>
          <w:sz w:val="24"/>
          <w:lang w:val="pt-PT"/>
        </w:rPr>
        <w:t xml:space="preserve"> </w:t>
      </w:r>
      <w:proofErr w:type="spellStart"/>
      <w:r w:rsidRPr="0019180A">
        <w:rPr>
          <w:sz w:val="24"/>
          <w:lang w:val="pt-PT"/>
        </w:rPr>
        <w:t>on</w:t>
      </w:r>
      <w:proofErr w:type="spellEnd"/>
      <w:r w:rsidRPr="0019180A">
        <w:rPr>
          <w:sz w:val="24"/>
          <w:lang w:val="pt-PT"/>
        </w:rPr>
        <w:t xml:space="preserve"> the </w:t>
      </w:r>
      <w:proofErr w:type="spellStart"/>
      <w:r w:rsidRPr="0019180A">
        <w:rPr>
          <w:sz w:val="24"/>
          <w:lang w:val="pt-PT"/>
        </w:rPr>
        <w:t>review</w:t>
      </w:r>
      <w:proofErr w:type="spellEnd"/>
      <w:r w:rsidRPr="0019180A">
        <w:rPr>
          <w:sz w:val="24"/>
          <w:lang w:val="pt-PT"/>
        </w:rPr>
        <w:t xml:space="preserve"> </w:t>
      </w:r>
      <w:proofErr w:type="spellStart"/>
      <w:r w:rsidRPr="0019180A">
        <w:rPr>
          <w:sz w:val="24"/>
          <w:lang w:val="pt-PT"/>
        </w:rPr>
        <w:t>of</w:t>
      </w:r>
      <w:proofErr w:type="spellEnd"/>
      <w:r w:rsidRPr="0019180A">
        <w:rPr>
          <w:sz w:val="24"/>
          <w:lang w:val="pt-PT"/>
        </w:rPr>
        <w:t xml:space="preserve"> the </w:t>
      </w:r>
      <w:proofErr w:type="spellStart"/>
      <w:r w:rsidRPr="0019180A">
        <w:rPr>
          <w:sz w:val="24"/>
          <w:lang w:val="pt-PT"/>
        </w:rPr>
        <w:t>existing</w:t>
      </w:r>
      <w:proofErr w:type="spellEnd"/>
      <w:r w:rsidRPr="0019180A">
        <w:rPr>
          <w:sz w:val="24"/>
          <w:lang w:val="pt-PT"/>
        </w:rPr>
        <w:t xml:space="preserve"> </w:t>
      </w:r>
      <w:proofErr w:type="spellStart"/>
      <w:r w:rsidRPr="0019180A">
        <w:rPr>
          <w:sz w:val="24"/>
          <w:lang w:val="pt-PT"/>
        </w:rPr>
        <w:t>maximum</w:t>
      </w:r>
      <w:proofErr w:type="spellEnd"/>
      <w:r w:rsidRPr="0019180A">
        <w:rPr>
          <w:sz w:val="24"/>
          <w:lang w:val="pt-PT"/>
        </w:rPr>
        <w:t xml:space="preserve"> </w:t>
      </w:r>
      <w:proofErr w:type="spellStart"/>
      <w:r w:rsidRPr="0019180A">
        <w:rPr>
          <w:sz w:val="24"/>
          <w:lang w:val="pt-PT"/>
        </w:rPr>
        <w:t>residue</w:t>
      </w:r>
      <w:proofErr w:type="spellEnd"/>
      <w:r w:rsidRPr="0019180A">
        <w:rPr>
          <w:sz w:val="24"/>
          <w:lang w:val="pt-PT"/>
        </w:rPr>
        <w:t xml:space="preserve"> </w:t>
      </w:r>
      <w:proofErr w:type="spellStart"/>
      <w:r w:rsidRPr="0019180A">
        <w:rPr>
          <w:sz w:val="24"/>
          <w:lang w:val="pt-PT"/>
        </w:rPr>
        <w:t>levels</w:t>
      </w:r>
      <w:proofErr w:type="spellEnd"/>
      <w:r w:rsidRPr="0019180A">
        <w:rPr>
          <w:sz w:val="24"/>
          <w:lang w:val="pt-PT"/>
        </w:rPr>
        <w:t xml:space="preserve"> for </w:t>
      </w:r>
      <w:proofErr w:type="spellStart"/>
      <w:r w:rsidRPr="0019180A">
        <w:rPr>
          <w:sz w:val="24"/>
          <w:lang w:val="pt-PT"/>
        </w:rPr>
        <w:t>cyproconazole</w:t>
      </w:r>
      <w:proofErr w:type="spellEnd"/>
      <w:r w:rsidRPr="0019180A">
        <w:rPr>
          <w:sz w:val="24"/>
          <w:lang w:val="pt-PT"/>
        </w:rPr>
        <w:t xml:space="preserve"> </w:t>
      </w:r>
      <w:proofErr w:type="spellStart"/>
      <w:r w:rsidRPr="0019180A">
        <w:rPr>
          <w:sz w:val="24"/>
          <w:lang w:val="pt-PT"/>
        </w:rPr>
        <w:t>according</w:t>
      </w:r>
      <w:proofErr w:type="spellEnd"/>
      <w:r w:rsidRPr="0019180A">
        <w:rPr>
          <w:sz w:val="24"/>
          <w:lang w:val="pt-PT"/>
        </w:rPr>
        <w:t xml:space="preserve"> to </w:t>
      </w:r>
      <w:proofErr w:type="spellStart"/>
      <w:r w:rsidRPr="0019180A">
        <w:rPr>
          <w:sz w:val="24"/>
          <w:lang w:val="pt-PT"/>
        </w:rPr>
        <w:t>Article</w:t>
      </w:r>
      <w:proofErr w:type="spellEnd"/>
      <w:r w:rsidRPr="0019180A">
        <w:rPr>
          <w:sz w:val="24"/>
          <w:lang w:val="pt-PT"/>
        </w:rPr>
        <w:t xml:space="preserve"> 12 </w:t>
      </w:r>
      <w:proofErr w:type="spellStart"/>
      <w:r w:rsidRPr="0019180A">
        <w:rPr>
          <w:sz w:val="24"/>
          <w:lang w:val="pt-PT"/>
        </w:rPr>
        <w:t>of</w:t>
      </w:r>
      <w:proofErr w:type="spellEnd"/>
      <w:r w:rsidRPr="0019180A">
        <w:rPr>
          <w:sz w:val="24"/>
          <w:lang w:val="pt-PT"/>
        </w:rPr>
        <w:t xml:space="preserve"> </w:t>
      </w:r>
      <w:proofErr w:type="spellStart"/>
      <w:r w:rsidRPr="0019180A">
        <w:rPr>
          <w:sz w:val="24"/>
          <w:lang w:val="pt-PT"/>
        </w:rPr>
        <w:t>Regulation</w:t>
      </w:r>
      <w:proofErr w:type="spellEnd"/>
      <w:r w:rsidRPr="0019180A">
        <w:rPr>
          <w:sz w:val="24"/>
          <w:lang w:val="pt-PT"/>
        </w:rPr>
        <w:t xml:space="preserve"> (EC) No 396/2005» [Parecer fundamentado sobre o reexame dos limites máximos de resíduos em vigor para o </w:t>
      </w:r>
      <w:proofErr w:type="spellStart"/>
      <w:r w:rsidRPr="0019180A">
        <w:rPr>
          <w:sz w:val="24"/>
          <w:lang w:val="pt-PT"/>
        </w:rPr>
        <w:t>ciproconazol</w:t>
      </w:r>
      <w:proofErr w:type="spellEnd"/>
      <w:r w:rsidRPr="0019180A">
        <w:rPr>
          <w:sz w:val="24"/>
          <w:lang w:val="pt-PT"/>
        </w:rPr>
        <w:t xml:space="preserve">, em conformidade com o artigo 12.º do Regulamento (CE) n.º 396/2005], EFSA </w:t>
      </w:r>
      <w:proofErr w:type="spellStart"/>
      <w:r w:rsidRPr="0019180A">
        <w:rPr>
          <w:sz w:val="24"/>
          <w:lang w:val="pt-PT"/>
        </w:rPr>
        <w:t>Journal</w:t>
      </w:r>
      <w:proofErr w:type="spellEnd"/>
      <w:r w:rsidRPr="0019180A">
        <w:rPr>
          <w:sz w:val="24"/>
          <w:lang w:val="pt-PT"/>
        </w:rPr>
        <w:t xml:space="preserve"> 2021;19(3):e06483, </w:t>
      </w:r>
      <w:r w:rsidR="00570FC4">
        <w:fldChar w:fldCharType="begin"/>
      </w:r>
      <w:r w:rsidR="00570FC4" w:rsidRPr="00570FC4">
        <w:rPr>
          <w:lang w:val="pt-PT"/>
        </w:rPr>
        <w:instrText xml:space="preserve"> HYPERLINK "https://doi.org/10.2903/j.efsa.2021.6483" </w:instrText>
      </w:r>
      <w:r w:rsidR="00570FC4">
        <w:fldChar w:fldCharType="separate"/>
      </w:r>
      <w:r w:rsidRPr="0019180A">
        <w:rPr>
          <w:rStyle w:val="Hyperlink"/>
          <w:sz w:val="24"/>
          <w:lang w:val="pt-PT"/>
        </w:rPr>
        <w:t>https://doi.org/10.2903/j.efsa.2021.6483</w:t>
      </w:r>
      <w:r w:rsidR="00570FC4">
        <w:rPr>
          <w:rStyle w:val="Hyperlink"/>
          <w:sz w:val="24"/>
          <w:lang w:val="pt-PT"/>
        </w:rPr>
        <w:fldChar w:fldCharType="end"/>
      </w:r>
      <w:r w:rsidRPr="0019180A">
        <w:rPr>
          <w:sz w:val="24"/>
          <w:lang w:val="pt-PT"/>
        </w:rPr>
        <w:t>.</w:t>
      </w:r>
    </w:p>
  </w:footnote>
  <w:footnote w:id="5">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Pr="0019180A">
        <w:rPr>
          <w:sz w:val="24"/>
          <w:lang w:val="pt-PT"/>
        </w:rPr>
        <w:t>EFSA, «</w:t>
      </w:r>
      <w:proofErr w:type="spellStart"/>
      <w:r w:rsidRPr="0019180A">
        <w:rPr>
          <w:sz w:val="24"/>
          <w:lang w:val="pt-PT"/>
        </w:rPr>
        <w:t>Conclusion</w:t>
      </w:r>
      <w:proofErr w:type="spellEnd"/>
      <w:r w:rsidRPr="0019180A">
        <w:rPr>
          <w:sz w:val="24"/>
          <w:lang w:val="pt-PT"/>
        </w:rPr>
        <w:t xml:space="preserve"> </w:t>
      </w:r>
      <w:proofErr w:type="spellStart"/>
      <w:r w:rsidRPr="0019180A">
        <w:rPr>
          <w:sz w:val="24"/>
          <w:lang w:val="pt-PT"/>
        </w:rPr>
        <w:t>on</w:t>
      </w:r>
      <w:proofErr w:type="spellEnd"/>
      <w:r w:rsidRPr="0019180A">
        <w:rPr>
          <w:sz w:val="24"/>
          <w:lang w:val="pt-PT"/>
        </w:rPr>
        <w:t xml:space="preserve"> the </w:t>
      </w:r>
      <w:proofErr w:type="spellStart"/>
      <w:r w:rsidRPr="0019180A">
        <w:rPr>
          <w:sz w:val="24"/>
          <w:lang w:val="pt-PT"/>
        </w:rPr>
        <w:t>peer</w:t>
      </w:r>
      <w:proofErr w:type="spellEnd"/>
      <w:r w:rsidRPr="0019180A">
        <w:rPr>
          <w:sz w:val="24"/>
          <w:lang w:val="pt-PT"/>
        </w:rPr>
        <w:t xml:space="preserve"> </w:t>
      </w:r>
      <w:proofErr w:type="spellStart"/>
      <w:r w:rsidRPr="0019180A">
        <w:rPr>
          <w:sz w:val="24"/>
          <w:lang w:val="pt-PT"/>
        </w:rPr>
        <w:t>review</w:t>
      </w:r>
      <w:proofErr w:type="spellEnd"/>
      <w:r w:rsidRPr="0019180A">
        <w:rPr>
          <w:sz w:val="24"/>
          <w:lang w:val="pt-PT"/>
        </w:rPr>
        <w:t xml:space="preserve"> </w:t>
      </w:r>
      <w:proofErr w:type="spellStart"/>
      <w:r w:rsidRPr="0019180A">
        <w:rPr>
          <w:sz w:val="24"/>
          <w:lang w:val="pt-PT"/>
        </w:rPr>
        <w:t>of</w:t>
      </w:r>
      <w:proofErr w:type="spellEnd"/>
      <w:r w:rsidRPr="0019180A">
        <w:rPr>
          <w:sz w:val="24"/>
          <w:lang w:val="pt-PT"/>
        </w:rPr>
        <w:t xml:space="preserve"> the </w:t>
      </w:r>
      <w:proofErr w:type="spellStart"/>
      <w:r w:rsidRPr="0019180A">
        <w:rPr>
          <w:sz w:val="24"/>
          <w:lang w:val="pt-PT"/>
        </w:rPr>
        <w:t>pesticide</w:t>
      </w:r>
      <w:proofErr w:type="spellEnd"/>
      <w:r w:rsidRPr="0019180A">
        <w:rPr>
          <w:sz w:val="24"/>
          <w:lang w:val="pt-PT"/>
        </w:rPr>
        <w:t xml:space="preserve"> </w:t>
      </w:r>
      <w:proofErr w:type="spellStart"/>
      <w:r w:rsidRPr="0019180A">
        <w:rPr>
          <w:sz w:val="24"/>
          <w:lang w:val="pt-PT"/>
        </w:rPr>
        <w:t>risk</w:t>
      </w:r>
      <w:proofErr w:type="spellEnd"/>
      <w:r w:rsidRPr="0019180A">
        <w:rPr>
          <w:sz w:val="24"/>
          <w:lang w:val="pt-PT"/>
        </w:rPr>
        <w:t xml:space="preserve"> </w:t>
      </w:r>
      <w:proofErr w:type="spellStart"/>
      <w:r w:rsidRPr="0019180A">
        <w:rPr>
          <w:sz w:val="24"/>
          <w:lang w:val="pt-PT"/>
        </w:rPr>
        <w:t>assessment</w:t>
      </w:r>
      <w:proofErr w:type="spellEnd"/>
      <w:r w:rsidRPr="0019180A">
        <w:rPr>
          <w:sz w:val="24"/>
          <w:lang w:val="pt-PT"/>
        </w:rPr>
        <w:t xml:space="preserve"> </w:t>
      </w:r>
      <w:proofErr w:type="spellStart"/>
      <w:r w:rsidRPr="0019180A">
        <w:rPr>
          <w:sz w:val="24"/>
          <w:lang w:val="pt-PT"/>
        </w:rPr>
        <w:t>of</w:t>
      </w:r>
      <w:proofErr w:type="spellEnd"/>
      <w:r w:rsidRPr="0019180A">
        <w:rPr>
          <w:sz w:val="24"/>
          <w:lang w:val="pt-PT"/>
        </w:rPr>
        <w:t xml:space="preserve"> the </w:t>
      </w:r>
      <w:proofErr w:type="spellStart"/>
      <w:r w:rsidRPr="0019180A">
        <w:rPr>
          <w:sz w:val="24"/>
          <w:lang w:val="pt-PT"/>
        </w:rPr>
        <w:t>active</w:t>
      </w:r>
      <w:proofErr w:type="spellEnd"/>
      <w:r w:rsidRPr="0019180A">
        <w:rPr>
          <w:sz w:val="24"/>
          <w:lang w:val="pt-PT"/>
        </w:rPr>
        <w:t xml:space="preserve"> </w:t>
      </w:r>
      <w:proofErr w:type="spellStart"/>
      <w:r w:rsidRPr="0019180A">
        <w:rPr>
          <w:sz w:val="24"/>
          <w:lang w:val="pt-PT"/>
        </w:rPr>
        <w:t>substance</w:t>
      </w:r>
      <w:proofErr w:type="spellEnd"/>
      <w:r w:rsidRPr="0019180A">
        <w:rPr>
          <w:sz w:val="24"/>
          <w:lang w:val="pt-PT"/>
        </w:rPr>
        <w:t xml:space="preserve"> </w:t>
      </w:r>
      <w:proofErr w:type="spellStart"/>
      <w:r w:rsidRPr="0019180A">
        <w:rPr>
          <w:sz w:val="24"/>
          <w:lang w:val="pt-PT"/>
        </w:rPr>
        <w:t>cyproconazole</w:t>
      </w:r>
      <w:proofErr w:type="spellEnd"/>
      <w:r w:rsidRPr="0019180A">
        <w:rPr>
          <w:sz w:val="24"/>
          <w:lang w:val="pt-PT"/>
        </w:rPr>
        <w:t xml:space="preserve">» [Conclusões sobre a análise pelos pares da avaliação dos riscos de pesticidas relativa à substância ativa </w:t>
      </w:r>
      <w:proofErr w:type="spellStart"/>
      <w:r w:rsidRPr="0019180A">
        <w:rPr>
          <w:sz w:val="24"/>
          <w:lang w:val="pt-PT"/>
        </w:rPr>
        <w:t>ciproconazol</w:t>
      </w:r>
      <w:proofErr w:type="spellEnd"/>
      <w:r w:rsidRPr="0019180A">
        <w:rPr>
          <w:sz w:val="24"/>
          <w:lang w:val="pt-PT"/>
        </w:rPr>
        <w:t xml:space="preserve">], EFSA </w:t>
      </w:r>
      <w:proofErr w:type="spellStart"/>
      <w:r w:rsidRPr="0019180A">
        <w:rPr>
          <w:sz w:val="24"/>
          <w:lang w:val="pt-PT"/>
        </w:rPr>
        <w:t>Journal</w:t>
      </w:r>
      <w:proofErr w:type="spellEnd"/>
      <w:r w:rsidRPr="0019180A">
        <w:rPr>
          <w:sz w:val="24"/>
          <w:lang w:val="pt-PT"/>
        </w:rPr>
        <w:t xml:space="preserve"> 2010;8(11):1897, </w:t>
      </w:r>
      <w:r w:rsidR="00570FC4">
        <w:fldChar w:fldCharType="begin"/>
      </w:r>
      <w:r w:rsidR="00570FC4" w:rsidRPr="00570FC4">
        <w:rPr>
          <w:lang w:val="pt-PT"/>
        </w:rPr>
        <w:instrText xml:space="preserve"> HYPERLINK "https://doi.org/10.2903/j.efsa.2010.1897" </w:instrText>
      </w:r>
      <w:r w:rsidR="00570FC4">
        <w:fldChar w:fldCharType="separate"/>
      </w:r>
      <w:r w:rsidRPr="0019180A">
        <w:rPr>
          <w:rStyle w:val="Hyperlink"/>
          <w:sz w:val="24"/>
          <w:lang w:val="pt-PT"/>
        </w:rPr>
        <w:t>https://doi.org/10.2903/j.efsa.2010.1897</w:t>
      </w:r>
      <w:r w:rsidR="00570FC4">
        <w:rPr>
          <w:rStyle w:val="Hyperlink"/>
          <w:sz w:val="24"/>
          <w:lang w:val="pt-PT"/>
        </w:rPr>
        <w:fldChar w:fldCharType="end"/>
      </w:r>
      <w:r w:rsidRPr="0019180A">
        <w:rPr>
          <w:sz w:val="24"/>
          <w:lang w:val="pt-PT"/>
        </w:rPr>
        <w:t>.</w:t>
      </w:r>
    </w:p>
  </w:footnote>
  <w:footnote w:id="6">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Pr="0019180A">
        <w:rPr>
          <w:sz w:val="24"/>
          <w:lang w:val="pt-PT"/>
        </w:rPr>
        <w:t xml:space="preserve">Parecer do RAC que propõe uma classificação e rotulagem harmonizadas do </w:t>
      </w:r>
      <w:proofErr w:type="spellStart"/>
      <w:r w:rsidRPr="0019180A">
        <w:rPr>
          <w:sz w:val="24"/>
          <w:lang w:val="pt-PT"/>
        </w:rPr>
        <w:t>ciproconazol</w:t>
      </w:r>
      <w:proofErr w:type="spellEnd"/>
      <w:r w:rsidRPr="0019180A">
        <w:rPr>
          <w:sz w:val="24"/>
          <w:lang w:val="pt-PT"/>
        </w:rPr>
        <w:t xml:space="preserve"> (ISO) a nível da UE; (2RS,3RS;2RS,3SR)</w:t>
      </w:r>
      <w:r w:rsidRPr="0019180A">
        <w:rPr>
          <w:sz w:val="24"/>
          <w:lang w:val="pt-PT"/>
        </w:rPr>
        <w:noBreakHyphen/>
        <w:t>2</w:t>
      </w:r>
      <w:r w:rsidRPr="0019180A">
        <w:rPr>
          <w:sz w:val="24"/>
          <w:lang w:val="pt-PT"/>
        </w:rPr>
        <w:noBreakHyphen/>
        <w:t>(4</w:t>
      </w:r>
      <w:r w:rsidRPr="0019180A">
        <w:rPr>
          <w:sz w:val="24"/>
          <w:lang w:val="pt-PT"/>
        </w:rPr>
        <w:noBreakHyphen/>
        <w:t>clorofenil)</w:t>
      </w:r>
      <w:r w:rsidRPr="0019180A">
        <w:rPr>
          <w:sz w:val="24"/>
          <w:lang w:val="pt-PT"/>
        </w:rPr>
        <w:noBreakHyphen/>
        <w:t>3</w:t>
      </w:r>
      <w:r w:rsidRPr="0019180A">
        <w:rPr>
          <w:sz w:val="24"/>
          <w:lang w:val="pt-PT"/>
        </w:rPr>
        <w:noBreakHyphen/>
        <w:t>ciclopropil</w:t>
      </w:r>
      <w:r w:rsidRPr="0019180A">
        <w:rPr>
          <w:sz w:val="24"/>
          <w:lang w:val="pt-PT"/>
        </w:rPr>
        <w:noBreakHyphen/>
        <w:t>1</w:t>
      </w:r>
      <w:r w:rsidRPr="0019180A">
        <w:rPr>
          <w:sz w:val="24"/>
          <w:lang w:val="pt-PT"/>
        </w:rPr>
        <w:noBreakHyphen/>
        <w:t>(1H</w:t>
      </w:r>
      <w:r w:rsidRPr="0019180A">
        <w:rPr>
          <w:sz w:val="24"/>
          <w:lang w:val="pt-PT"/>
        </w:rPr>
        <w:noBreakHyphen/>
        <w:t>1,2,4</w:t>
      </w:r>
      <w:r w:rsidRPr="0019180A">
        <w:rPr>
          <w:sz w:val="24"/>
          <w:lang w:val="pt-PT"/>
        </w:rPr>
        <w:noBreakHyphen/>
        <w:t>triazol</w:t>
      </w:r>
      <w:r w:rsidRPr="0019180A">
        <w:rPr>
          <w:sz w:val="24"/>
          <w:lang w:val="pt-PT"/>
        </w:rPr>
        <w:noBreakHyphen/>
        <w:t>1</w:t>
      </w:r>
      <w:r w:rsidRPr="0019180A">
        <w:rPr>
          <w:sz w:val="24"/>
          <w:lang w:val="pt-PT"/>
        </w:rPr>
        <w:noBreakHyphen/>
        <w:t>il)butan</w:t>
      </w:r>
      <w:r w:rsidRPr="0019180A">
        <w:rPr>
          <w:sz w:val="24"/>
          <w:lang w:val="pt-PT"/>
        </w:rPr>
        <w:noBreakHyphen/>
        <w:t>2</w:t>
      </w:r>
      <w:r w:rsidRPr="0019180A">
        <w:rPr>
          <w:sz w:val="24"/>
          <w:lang w:val="pt-PT"/>
        </w:rPr>
        <w:noBreakHyphen/>
        <w:t xml:space="preserve">ol, </w:t>
      </w:r>
      <w:r w:rsidR="00570FC4">
        <w:fldChar w:fldCharType="begin"/>
      </w:r>
      <w:r w:rsidR="00570FC4" w:rsidRPr="00570FC4">
        <w:rPr>
          <w:lang w:val="pt-PT"/>
        </w:rPr>
        <w:instrText xml:space="preserve"> HYPERLINK "https://echa.eur</w:instrText>
      </w:r>
      <w:r w:rsidR="00570FC4" w:rsidRPr="00570FC4">
        <w:rPr>
          <w:lang w:val="pt-PT"/>
        </w:rPr>
        <w:instrText xml:space="preserve">opa.eu/documents/10162/6d98baeb-24aa-a683-28ec-d8adabee5461" </w:instrText>
      </w:r>
      <w:r w:rsidR="00570FC4">
        <w:fldChar w:fldCharType="separate"/>
      </w:r>
      <w:r w:rsidRPr="0019180A">
        <w:rPr>
          <w:rStyle w:val="Hyperlink"/>
          <w:sz w:val="24"/>
          <w:lang w:val="pt-PT"/>
        </w:rPr>
        <w:t>https://echa.europa.eu/documents/10162/6d98baeb</w:t>
      </w:r>
      <w:r w:rsidRPr="0019180A">
        <w:rPr>
          <w:rStyle w:val="Hyperlink"/>
          <w:sz w:val="24"/>
          <w:lang w:val="pt-PT"/>
        </w:rPr>
        <w:noBreakHyphen/>
        <w:t>24aa</w:t>
      </w:r>
      <w:r w:rsidRPr="0019180A">
        <w:rPr>
          <w:rStyle w:val="Hyperlink"/>
          <w:sz w:val="24"/>
          <w:lang w:val="pt-PT"/>
        </w:rPr>
        <w:noBreakHyphen/>
        <w:t>a683</w:t>
      </w:r>
      <w:r w:rsidRPr="0019180A">
        <w:rPr>
          <w:rStyle w:val="Hyperlink"/>
          <w:sz w:val="24"/>
          <w:lang w:val="pt-PT"/>
        </w:rPr>
        <w:noBreakHyphen/>
        <w:t>28ec</w:t>
      </w:r>
      <w:r w:rsidRPr="0019180A">
        <w:rPr>
          <w:rStyle w:val="Hyperlink"/>
          <w:sz w:val="24"/>
          <w:lang w:val="pt-PT"/>
        </w:rPr>
        <w:noBreakHyphen/>
        <w:t>d8adabee5461</w:t>
      </w:r>
      <w:r w:rsidR="00570FC4">
        <w:rPr>
          <w:rStyle w:val="Hyperlink"/>
          <w:sz w:val="24"/>
          <w:lang w:val="pt-PT"/>
        </w:rPr>
        <w:fldChar w:fldCharType="end"/>
      </w:r>
      <w:r w:rsidRPr="0019180A">
        <w:rPr>
          <w:sz w:val="24"/>
          <w:lang w:val="pt-PT"/>
        </w:rPr>
        <w:t>.</w:t>
      </w:r>
    </w:p>
  </w:footnote>
  <w:footnote w:id="7">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Pr="0019180A">
        <w:rPr>
          <w:sz w:val="24"/>
          <w:lang w:val="pt-PT"/>
        </w:rPr>
        <w:t>JO L 184 de 17.7.1999, p. 23.</w:t>
      </w:r>
    </w:p>
  </w:footnote>
  <w:footnote w:id="8">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Pr="0019180A">
        <w:rPr>
          <w:sz w:val="24"/>
          <w:lang w:val="pt-PT"/>
        </w:rPr>
        <w:t>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footnote>
  <w:footnote w:id="9">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00570FC4">
        <w:fldChar w:fldCharType="begin"/>
      </w:r>
      <w:r w:rsidR="00570FC4" w:rsidRPr="00570FC4">
        <w:rPr>
          <w:lang w:val="pt-PT"/>
        </w:rPr>
        <w:instrText xml:space="preserve"> HYPERLINK "https://www.echa.e</w:instrText>
      </w:r>
      <w:r w:rsidR="00570FC4" w:rsidRPr="00570FC4">
        <w:rPr>
          <w:lang w:val="pt-PT"/>
        </w:rPr>
        <w:instrText xml:space="preserve">uropa.eu/substance-information/-/substanceinfo/100.130.443" </w:instrText>
      </w:r>
      <w:r w:rsidR="00570FC4">
        <w:fldChar w:fldCharType="separate"/>
      </w:r>
      <w:r w:rsidRPr="0019180A">
        <w:rPr>
          <w:rStyle w:val="Hyperlink"/>
          <w:sz w:val="24"/>
          <w:lang w:val="pt-PT"/>
        </w:rPr>
        <w:t>https://www.echa.europa.eu/substance</w:t>
      </w:r>
      <w:r w:rsidRPr="0019180A">
        <w:rPr>
          <w:rStyle w:val="Hyperlink"/>
          <w:sz w:val="24"/>
          <w:lang w:val="pt-PT"/>
        </w:rPr>
        <w:noBreakHyphen/>
        <w:t>information/</w:t>
      </w:r>
      <w:r w:rsidRPr="0019180A">
        <w:rPr>
          <w:rStyle w:val="Hyperlink"/>
          <w:sz w:val="24"/>
          <w:lang w:val="pt-PT"/>
        </w:rPr>
        <w:noBreakHyphen/>
        <w:t>/substanceinfo/100.130.443</w:t>
      </w:r>
      <w:r w:rsidR="00570FC4">
        <w:rPr>
          <w:rStyle w:val="Hyperlink"/>
          <w:sz w:val="24"/>
          <w:lang w:val="pt-PT"/>
        </w:rPr>
        <w:fldChar w:fldCharType="end"/>
      </w:r>
      <w:r w:rsidRPr="0019180A">
        <w:rPr>
          <w:sz w:val="24"/>
          <w:lang w:val="pt-PT"/>
        </w:rPr>
        <w:t>.</w:t>
      </w:r>
    </w:p>
  </w:footnote>
  <w:footnote w:id="10">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Pr="0019180A">
        <w:rPr>
          <w:sz w:val="24"/>
          <w:lang w:val="pt-PT"/>
        </w:rPr>
        <w:t>Conclusões da EFSA sobre a análise pelos pares da avaliação dos riscos de pesticidas, de 8 de novembro de 2010</w:t>
      </w:r>
      <w:r w:rsidRPr="0019180A">
        <w:rPr>
          <w:rStyle w:val="Hyperlink"/>
          <w:sz w:val="24"/>
          <w:lang w:val="pt-PT"/>
        </w:rPr>
        <w:t>;</w:t>
      </w:r>
      <w:r w:rsidRPr="0019180A">
        <w:rPr>
          <w:sz w:val="24"/>
          <w:lang w:val="pt-PT"/>
        </w:rPr>
        <w:t xml:space="preserve"> </w:t>
      </w:r>
      <w:proofErr w:type="spellStart"/>
      <w:r w:rsidRPr="0019180A">
        <w:rPr>
          <w:sz w:val="24"/>
          <w:lang w:val="pt-PT"/>
        </w:rPr>
        <w:t>Draskau</w:t>
      </w:r>
      <w:proofErr w:type="spellEnd"/>
      <w:r w:rsidRPr="0019180A">
        <w:rPr>
          <w:sz w:val="24"/>
          <w:lang w:val="pt-PT"/>
        </w:rPr>
        <w:t xml:space="preserve">, M. K., e </w:t>
      </w:r>
      <w:proofErr w:type="spellStart"/>
      <w:r w:rsidRPr="0019180A">
        <w:rPr>
          <w:sz w:val="24"/>
          <w:lang w:val="pt-PT"/>
        </w:rPr>
        <w:t>Svingen</w:t>
      </w:r>
      <w:proofErr w:type="spellEnd"/>
      <w:r w:rsidRPr="0019180A">
        <w:rPr>
          <w:sz w:val="24"/>
          <w:lang w:val="pt-PT"/>
        </w:rPr>
        <w:t>, T., «</w:t>
      </w:r>
      <w:proofErr w:type="spellStart"/>
      <w:r w:rsidRPr="0019180A">
        <w:rPr>
          <w:sz w:val="24"/>
          <w:lang w:val="pt-PT"/>
        </w:rPr>
        <w:t>Azole</w:t>
      </w:r>
      <w:proofErr w:type="spellEnd"/>
      <w:r w:rsidRPr="0019180A">
        <w:rPr>
          <w:sz w:val="24"/>
          <w:lang w:val="pt-PT"/>
        </w:rPr>
        <w:t xml:space="preserve"> </w:t>
      </w:r>
      <w:proofErr w:type="spellStart"/>
      <w:r w:rsidRPr="0019180A">
        <w:rPr>
          <w:sz w:val="24"/>
          <w:lang w:val="pt-PT"/>
        </w:rPr>
        <w:t>Fungicides</w:t>
      </w:r>
      <w:proofErr w:type="spellEnd"/>
      <w:r w:rsidRPr="0019180A">
        <w:rPr>
          <w:sz w:val="24"/>
          <w:lang w:val="pt-PT"/>
        </w:rPr>
        <w:t xml:space="preserve"> </w:t>
      </w:r>
      <w:proofErr w:type="spellStart"/>
      <w:r w:rsidRPr="0019180A">
        <w:rPr>
          <w:sz w:val="24"/>
          <w:lang w:val="pt-PT"/>
        </w:rPr>
        <w:t>and</w:t>
      </w:r>
      <w:proofErr w:type="spellEnd"/>
      <w:r w:rsidRPr="0019180A">
        <w:rPr>
          <w:sz w:val="24"/>
          <w:lang w:val="pt-PT"/>
        </w:rPr>
        <w:t xml:space="preserve"> </w:t>
      </w:r>
      <w:proofErr w:type="spellStart"/>
      <w:r w:rsidRPr="0019180A">
        <w:rPr>
          <w:sz w:val="24"/>
          <w:lang w:val="pt-PT"/>
        </w:rPr>
        <w:t>Their</w:t>
      </w:r>
      <w:proofErr w:type="spellEnd"/>
      <w:r w:rsidRPr="0019180A">
        <w:rPr>
          <w:sz w:val="24"/>
          <w:lang w:val="pt-PT"/>
        </w:rPr>
        <w:t xml:space="preserve"> </w:t>
      </w:r>
      <w:proofErr w:type="spellStart"/>
      <w:r w:rsidRPr="0019180A">
        <w:rPr>
          <w:sz w:val="24"/>
          <w:lang w:val="pt-PT"/>
        </w:rPr>
        <w:t>Endocrine</w:t>
      </w:r>
      <w:proofErr w:type="spellEnd"/>
      <w:r w:rsidRPr="0019180A">
        <w:rPr>
          <w:sz w:val="24"/>
          <w:lang w:val="pt-PT"/>
        </w:rPr>
        <w:t xml:space="preserve"> </w:t>
      </w:r>
      <w:proofErr w:type="spellStart"/>
      <w:r w:rsidRPr="0019180A">
        <w:rPr>
          <w:sz w:val="24"/>
          <w:lang w:val="pt-PT"/>
        </w:rPr>
        <w:t>Disrupting</w:t>
      </w:r>
      <w:proofErr w:type="spellEnd"/>
      <w:r w:rsidRPr="0019180A">
        <w:rPr>
          <w:sz w:val="24"/>
          <w:lang w:val="pt-PT"/>
        </w:rPr>
        <w:t xml:space="preserve"> </w:t>
      </w:r>
      <w:proofErr w:type="spellStart"/>
      <w:r w:rsidRPr="0019180A">
        <w:rPr>
          <w:sz w:val="24"/>
          <w:lang w:val="pt-PT"/>
        </w:rPr>
        <w:t>Properties</w:t>
      </w:r>
      <w:proofErr w:type="spellEnd"/>
      <w:r w:rsidRPr="0019180A">
        <w:rPr>
          <w:sz w:val="24"/>
          <w:lang w:val="pt-PT"/>
        </w:rPr>
        <w:t xml:space="preserve">: </w:t>
      </w:r>
      <w:proofErr w:type="spellStart"/>
      <w:r w:rsidRPr="0019180A">
        <w:rPr>
          <w:sz w:val="24"/>
          <w:lang w:val="pt-PT"/>
        </w:rPr>
        <w:t>erspectives</w:t>
      </w:r>
      <w:proofErr w:type="spellEnd"/>
      <w:r w:rsidRPr="0019180A">
        <w:rPr>
          <w:sz w:val="24"/>
          <w:lang w:val="pt-PT"/>
        </w:rPr>
        <w:t xml:space="preserve"> </w:t>
      </w:r>
      <w:proofErr w:type="spellStart"/>
      <w:r w:rsidRPr="0019180A">
        <w:rPr>
          <w:sz w:val="24"/>
          <w:lang w:val="pt-PT"/>
        </w:rPr>
        <w:t>on</w:t>
      </w:r>
      <w:proofErr w:type="spellEnd"/>
      <w:r w:rsidRPr="0019180A">
        <w:rPr>
          <w:sz w:val="24"/>
          <w:lang w:val="pt-PT"/>
        </w:rPr>
        <w:t xml:space="preserve"> </w:t>
      </w:r>
      <w:proofErr w:type="spellStart"/>
      <w:r w:rsidRPr="0019180A">
        <w:rPr>
          <w:sz w:val="24"/>
          <w:lang w:val="pt-PT"/>
        </w:rPr>
        <w:t>Sex</w:t>
      </w:r>
      <w:proofErr w:type="spellEnd"/>
      <w:r w:rsidRPr="0019180A">
        <w:rPr>
          <w:sz w:val="24"/>
          <w:lang w:val="pt-PT"/>
        </w:rPr>
        <w:t xml:space="preserve"> </w:t>
      </w:r>
      <w:proofErr w:type="spellStart"/>
      <w:r w:rsidRPr="0019180A">
        <w:rPr>
          <w:sz w:val="24"/>
          <w:lang w:val="pt-PT"/>
        </w:rPr>
        <w:t>Hormone</w:t>
      </w:r>
      <w:r w:rsidRPr="0019180A">
        <w:rPr>
          <w:sz w:val="24"/>
          <w:lang w:val="pt-PT"/>
        </w:rPr>
        <w:noBreakHyphen/>
        <w:t>Dependent</w:t>
      </w:r>
      <w:proofErr w:type="spellEnd"/>
      <w:r w:rsidRPr="0019180A">
        <w:rPr>
          <w:sz w:val="24"/>
          <w:lang w:val="pt-PT"/>
        </w:rPr>
        <w:t xml:space="preserve"> </w:t>
      </w:r>
      <w:proofErr w:type="spellStart"/>
      <w:r w:rsidRPr="0019180A">
        <w:rPr>
          <w:sz w:val="24"/>
          <w:lang w:val="pt-PT"/>
        </w:rPr>
        <w:t>Reproductive</w:t>
      </w:r>
      <w:proofErr w:type="spellEnd"/>
      <w:r w:rsidRPr="0019180A">
        <w:rPr>
          <w:sz w:val="24"/>
          <w:lang w:val="pt-PT"/>
        </w:rPr>
        <w:t xml:space="preserve"> </w:t>
      </w:r>
      <w:proofErr w:type="spellStart"/>
      <w:r w:rsidRPr="0019180A">
        <w:rPr>
          <w:sz w:val="24"/>
          <w:lang w:val="pt-PT"/>
        </w:rPr>
        <w:t>Development</w:t>
      </w:r>
      <w:proofErr w:type="spellEnd"/>
      <w:r w:rsidRPr="0019180A">
        <w:rPr>
          <w:sz w:val="24"/>
          <w:lang w:val="pt-PT"/>
        </w:rPr>
        <w:t xml:space="preserve">» [Fungicidas </w:t>
      </w:r>
      <w:proofErr w:type="spellStart"/>
      <w:r w:rsidRPr="0019180A">
        <w:rPr>
          <w:sz w:val="24"/>
          <w:lang w:val="pt-PT"/>
        </w:rPr>
        <w:t>azólicos</w:t>
      </w:r>
      <w:proofErr w:type="spellEnd"/>
      <w:r w:rsidRPr="0019180A">
        <w:rPr>
          <w:sz w:val="24"/>
          <w:lang w:val="pt-PT"/>
        </w:rPr>
        <w:t xml:space="preserve"> e as suas propriedades de desregulação endócrina: perspetivas sobre o desenvolvimento reprodutivo dependente das hormonas sexuais], </w:t>
      </w:r>
      <w:proofErr w:type="spellStart"/>
      <w:r w:rsidRPr="0019180A">
        <w:rPr>
          <w:sz w:val="24"/>
          <w:lang w:val="pt-PT"/>
        </w:rPr>
        <w:t>Frontiers</w:t>
      </w:r>
      <w:proofErr w:type="spellEnd"/>
      <w:r w:rsidRPr="0019180A">
        <w:rPr>
          <w:sz w:val="24"/>
          <w:lang w:val="pt-PT"/>
        </w:rPr>
        <w:t xml:space="preserve"> in </w:t>
      </w:r>
      <w:proofErr w:type="spellStart"/>
      <w:r w:rsidRPr="0019180A">
        <w:rPr>
          <w:sz w:val="24"/>
          <w:lang w:val="pt-PT"/>
        </w:rPr>
        <w:t>Toxicology</w:t>
      </w:r>
      <w:proofErr w:type="spellEnd"/>
      <w:r w:rsidRPr="0019180A">
        <w:rPr>
          <w:sz w:val="24"/>
          <w:lang w:val="pt-PT"/>
        </w:rPr>
        <w:t xml:space="preserve"> 2022, 4:883254, </w:t>
      </w:r>
      <w:r w:rsidR="00570FC4">
        <w:fldChar w:fldCharType="begin"/>
      </w:r>
      <w:r w:rsidR="00570FC4" w:rsidRPr="00570FC4">
        <w:rPr>
          <w:lang w:val="pt-PT"/>
        </w:rPr>
        <w:instrText xml:space="preserve"> HYPERLINK "https://doi.org/10.3389/ftox.2022.883254" </w:instrText>
      </w:r>
      <w:r w:rsidR="00570FC4">
        <w:fldChar w:fldCharType="separate"/>
      </w:r>
      <w:r w:rsidRPr="0019180A">
        <w:rPr>
          <w:rStyle w:val="Hyperlink"/>
          <w:color w:val="0000FF"/>
          <w:sz w:val="24"/>
          <w:shd w:val="clear" w:color="auto" w:fill="F7F7F7"/>
          <w:lang w:val="pt-PT"/>
        </w:rPr>
        <w:t>https://doi.org/10.3389/ftox.2022.883254</w:t>
      </w:r>
      <w:r w:rsidR="00570FC4">
        <w:rPr>
          <w:rStyle w:val="Hyperlink"/>
          <w:color w:val="0000FF"/>
          <w:sz w:val="24"/>
          <w:shd w:val="clear" w:color="auto" w:fill="F7F7F7"/>
          <w:lang w:val="pt-PT"/>
        </w:rPr>
        <w:fldChar w:fldCharType="end"/>
      </w:r>
      <w:r w:rsidRPr="0019180A">
        <w:rPr>
          <w:sz w:val="24"/>
          <w:lang w:val="pt-PT"/>
        </w:rPr>
        <w:t>.</w:t>
      </w:r>
    </w:p>
  </w:footnote>
  <w:footnote w:id="11">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Pr="0019180A">
        <w:rPr>
          <w:sz w:val="24"/>
          <w:lang w:val="pt-PT"/>
        </w:rPr>
        <w:t xml:space="preserve">Regulamento (UE) 2018/605 da Comissão, de 19 de abril de 2018, que altera o anexo II do Regulamento (CE) n.º 1107/2009, estabelecendo critérios científicos para a determinação das propriedades </w:t>
      </w:r>
      <w:proofErr w:type="spellStart"/>
      <w:r w:rsidRPr="0019180A">
        <w:rPr>
          <w:sz w:val="24"/>
          <w:lang w:val="pt-PT"/>
        </w:rPr>
        <w:t>desreguladoras</w:t>
      </w:r>
      <w:proofErr w:type="spellEnd"/>
      <w:r w:rsidRPr="0019180A">
        <w:rPr>
          <w:sz w:val="24"/>
          <w:lang w:val="pt-PT"/>
        </w:rPr>
        <w:t xml:space="preserve"> do sistema endócrino (JO L 101 de 20.4.2018, p. 33).</w:t>
      </w:r>
    </w:p>
  </w:footnote>
  <w:footnote w:id="12">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Pr="0019180A">
        <w:rPr>
          <w:sz w:val="24"/>
          <w:lang w:val="pt-PT"/>
        </w:rPr>
        <w:t>EFSA, «</w:t>
      </w:r>
      <w:proofErr w:type="spellStart"/>
      <w:r w:rsidRPr="0019180A">
        <w:rPr>
          <w:sz w:val="24"/>
          <w:lang w:val="pt-PT"/>
        </w:rPr>
        <w:t>Scientific</w:t>
      </w:r>
      <w:proofErr w:type="spellEnd"/>
      <w:r w:rsidRPr="0019180A">
        <w:rPr>
          <w:sz w:val="24"/>
          <w:lang w:val="pt-PT"/>
        </w:rPr>
        <w:t xml:space="preserve"> </w:t>
      </w:r>
      <w:proofErr w:type="spellStart"/>
      <w:r w:rsidRPr="0019180A">
        <w:rPr>
          <w:sz w:val="24"/>
          <w:lang w:val="pt-PT"/>
        </w:rPr>
        <w:t>report</w:t>
      </w:r>
      <w:proofErr w:type="spellEnd"/>
      <w:r w:rsidRPr="0019180A">
        <w:rPr>
          <w:sz w:val="24"/>
          <w:lang w:val="pt-PT"/>
        </w:rPr>
        <w:t xml:space="preserve"> </w:t>
      </w:r>
      <w:proofErr w:type="spellStart"/>
      <w:r w:rsidRPr="0019180A">
        <w:rPr>
          <w:sz w:val="24"/>
          <w:lang w:val="pt-PT"/>
        </w:rPr>
        <w:t>of</w:t>
      </w:r>
      <w:proofErr w:type="spellEnd"/>
      <w:r w:rsidRPr="0019180A">
        <w:rPr>
          <w:sz w:val="24"/>
          <w:lang w:val="pt-PT"/>
        </w:rPr>
        <w:t xml:space="preserve"> the </w:t>
      </w:r>
      <w:proofErr w:type="spellStart"/>
      <w:r w:rsidRPr="0019180A">
        <w:rPr>
          <w:sz w:val="24"/>
          <w:lang w:val="pt-PT"/>
        </w:rPr>
        <w:t>Endocrine</w:t>
      </w:r>
      <w:proofErr w:type="spellEnd"/>
      <w:r w:rsidRPr="0019180A">
        <w:rPr>
          <w:sz w:val="24"/>
          <w:lang w:val="pt-PT"/>
        </w:rPr>
        <w:t xml:space="preserve"> Active </w:t>
      </w:r>
      <w:proofErr w:type="spellStart"/>
      <w:r w:rsidRPr="0019180A">
        <w:rPr>
          <w:sz w:val="24"/>
          <w:lang w:val="pt-PT"/>
        </w:rPr>
        <w:t>Substances</w:t>
      </w:r>
      <w:proofErr w:type="spellEnd"/>
      <w:r w:rsidRPr="0019180A">
        <w:rPr>
          <w:sz w:val="24"/>
          <w:lang w:val="pt-PT"/>
        </w:rPr>
        <w:t xml:space="preserve"> </w:t>
      </w:r>
      <w:proofErr w:type="spellStart"/>
      <w:r w:rsidRPr="0019180A">
        <w:rPr>
          <w:sz w:val="24"/>
          <w:lang w:val="pt-PT"/>
        </w:rPr>
        <w:t>Task</w:t>
      </w:r>
      <w:proofErr w:type="spellEnd"/>
      <w:r w:rsidRPr="0019180A">
        <w:rPr>
          <w:sz w:val="24"/>
          <w:lang w:val="pt-PT"/>
        </w:rPr>
        <w:t xml:space="preserve"> Force» [Relatório científico do Grupo de Trabalho sobre as Substâncias Ativas Endócrinas], EFSA </w:t>
      </w:r>
      <w:proofErr w:type="spellStart"/>
      <w:r w:rsidRPr="0019180A">
        <w:rPr>
          <w:sz w:val="24"/>
          <w:lang w:val="pt-PT"/>
        </w:rPr>
        <w:t>Journal</w:t>
      </w:r>
      <w:proofErr w:type="spellEnd"/>
      <w:r w:rsidRPr="0019180A">
        <w:rPr>
          <w:sz w:val="24"/>
          <w:lang w:val="pt-PT"/>
        </w:rPr>
        <w:t xml:space="preserve"> 2010;8(11):1932, </w:t>
      </w:r>
      <w:r w:rsidR="00570FC4">
        <w:fldChar w:fldCharType="begin"/>
      </w:r>
      <w:r w:rsidR="00570FC4" w:rsidRPr="00570FC4">
        <w:rPr>
          <w:lang w:val="pt-PT"/>
        </w:rPr>
        <w:instrText xml:space="preserve"> HYPERLINK "https://doi.org/10.2903/j.efsa.2010.1932" </w:instrText>
      </w:r>
      <w:r w:rsidR="00570FC4">
        <w:fldChar w:fldCharType="separate"/>
      </w:r>
      <w:r w:rsidRPr="0019180A">
        <w:rPr>
          <w:rStyle w:val="Hyperlink"/>
          <w:sz w:val="24"/>
          <w:lang w:val="pt-PT"/>
        </w:rPr>
        <w:t>https://doi.org/10.2903/j.efsa.2010.1932</w:t>
      </w:r>
      <w:r w:rsidR="00570FC4">
        <w:rPr>
          <w:rStyle w:val="Hyperlink"/>
          <w:sz w:val="24"/>
          <w:lang w:val="pt-PT"/>
        </w:rPr>
        <w:fldChar w:fldCharType="end"/>
      </w:r>
      <w:r w:rsidRPr="0019180A">
        <w:rPr>
          <w:sz w:val="24"/>
          <w:lang w:val="pt-PT"/>
        </w:rPr>
        <w:t xml:space="preserve">. </w:t>
      </w:r>
    </w:p>
  </w:footnote>
  <w:footnote w:id="13">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proofErr w:type="spellStart"/>
      <w:r w:rsidRPr="0019180A">
        <w:rPr>
          <w:sz w:val="24"/>
          <w:lang w:val="pt-PT"/>
        </w:rPr>
        <w:t>Zhang</w:t>
      </w:r>
      <w:proofErr w:type="spellEnd"/>
      <w:r w:rsidRPr="0019180A">
        <w:rPr>
          <w:sz w:val="24"/>
          <w:lang w:val="pt-PT"/>
        </w:rPr>
        <w:t xml:space="preserve">, J., </w:t>
      </w:r>
      <w:proofErr w:type="spellStart"/>
      <w:r w:rsidRPr="0019180A">
        <w:rPr>
          <w:sz w:val="24"/>
          <w:lang w:val="pt-PT"/>
        </w:rPr>
        <w:t>Jimenez</w:t>
      </w:r>
      <w:proofErr w:type="spellEnd"/>
      <w:r w:rsidRPr="0019180A">
        <w:rPr>
          <w:sz w:val="24"/>
          <w:lang w:val="pt-PT"/>
        </w:rPr>
        <w:t xml:space="preserve">, L.L., </w:t>
      </w:r>
      <w:proofErr w:type="spellStart"/>
      <w:r w:rsidRPr="0019180A">
        <w:rPr>
          <w:sz w:val="24"/>
          <w:lang w:val="pt-PT"/>
        </w:rPr>
        <w:t>Snelders</w:t>
      </w:r>
      <w:proofErr w:type="spellEnd"/>
      <w:r w:rsidRPr="0019180A">
        <w:rPr>
          <w:sz w:val="24"/>
          <w:lang w:val="pt-PT"/>
        </w:rPr>
        <w:t xml:space="preserve">, E., </w:t>
      </w:r>
      <w:proofErr w:type="spellStart"/>
      <w:r w:rsidRPr="0019180A">
        <w:rPr>
          <w:sz w:val="24"/>
          <w:lang w:val="pt-PT"/>
        </w:rPr>
        <w:t>Debets</w:t>
      </w:r>
      <w:proofErr w:type="spellEnd"/>
      <w:r w:rsidRPr="0019180A">
        <w:rPr>
          <w:sz w:val="24"/>
          <w:lang w:val="pt-PT"/>
        </w:rPr>
        <w:t xml:space="preserve">, A.J.M., </w:t>
      </w:r>
      <w:proofErr w:type="spellStart"/>
      <w:r w:rsidRPr="0019180A">
        <w:rPr>
          <w:sz w:val="24"/>
          <w:lang w:val="pt-PT"/>
        </w:rPr>
        <w:t>Rietveld</w:t>
      </w:r>
      <w:proofErr w:type="spellEnd"/>
      <w:r w:rsidRPr="0019180A">
        <w:rPr>
          <w:sz w:val="24"/>
          <w:lang w:val="pt-PT"/>
        </w:rPr>
        <w:t xml:space="preserve">, A.G., </w:t>
      </w:r>
      <w:proofErr w:type="spellStart"/>
      <w:r w:rsidRPr="0019180A">
        <w:rPr>
          <w:sz w:val="24"/>
          <w:lang w:val="pt-PT"/>
        </w:rPr>
        <w:t>Zwaan</w:t>
      </w:r>
      <w:proofErr w:type="spellEnd"/>
      <w:r w:rsidRPr="0019180A">
        <w:rPr>
          <w:sz w:val="24"/>
          <w:lang w:val="pt-PT"/>
        </w:rPr>
        <w:t xml:space="preserve">, B.J., </w:t>
      </w:r>
      <w:proofErr w:type="spellStart"/>
      <w:r w:rsidRPr="0019180A">
        <w:rPr>
          <w:sz w:val="24"/>
          <w:lang w:val="pt-PT"/>
        </w:rPr>
        <w:t>Verweij</w:t>
      </w:r>
      <w:proofErr w:type="spellEnd"/>
      <w:r w:rsidRPr="0019180A">
        <w:rPr>
          <w:sz w:val="24"/>
          <w:lang w:val="pt-PT"/>
        </w:rPr>
        <w:t xml:space="preserve">, P.E., </w:t>
      </w:r>
      <w:proofErr w:type="spellStart"/>
      <w:r w:rsidRPr="0019180A">
        <w:rPr>
          <w:sz w:val="24"/>
          <w:lang w:val="pt-PT"/>
        </w:rPr>
        <w:t>Schoustra</w:t>
      </w:r>
      <w:proofErr w:type="spellEnd"/>
      <w:r w:rsidRPr="0019180A">
        <w:rPr>
          <w:sz w:val="24"/>
          <w:lang w:val="pt-PT"/>
        </w:rPr>
        <w:t xml:space="preserve">, S.E., «Dynamics </w:t>
      </w:r>
      <w:proofErr w:type="spellStart"/>
      <w:r w:rsidRPr="0019180A">
        <w:rPr>
          <w:sz w:val="24"/>
          <w:lang w:val="pt-PT"/>
        </w:rPr>
        <w:t>of</w:t>
      </w:r>
      <w:proofErr w:type="spellEnd"/>
      <w:r w:rsidRPr="0019180A">
        <w:rPr>
          <w:sz w:val="24"/>
          <w:lang w:val="pt-PT"/>
        </w:rPr>
        <w:t xml:space="preserve"> </w:t>
      </w:r>
      <w:proofErr w:type="spellStart"/>
      <w:r w:rsidRPr="0019180A">
        <w:rPr>
          <w:i/>
          <w:sz w:val="24"/>
          <w:lang w:val="pt-PT"/>
        </w:rPr>
        <w:t>Aspergillus</w:t>
      </w:r>
      <w:proofErr w:type="spellEnd"/>
      <w:r w:rsidRPr="0019180A">
        <w:rPr>
          <w:i/>
          <w:sz w:val="24"/>
          <w:lang w:val="pt-PT"/>
        </w:rPr>
        <w:t xml:space="preserve"> </w:t>
      </w:r>
      <w:proofErr w:type="spellStart"/>
      <w:r w:rsidRPr="0019180A">
        <w:rPr>
          <w:i/>
          <w:sz w:val="24"/>
          <w:lang w:val="pt-PT"/>
        </w:rPr>
        <w:t>fumigatus</w:t>
      </w:r>
      <w:proofErr w:type="spellEnd"/>
      <w:r w:rsidRPr="0019180A">
        <w:rPr>
          <w:sz w:val="24"/>
          <w:lang w:val="pt-PT"/>
        </w:rPr>
        <w:t xml:space="preserve"> in </w:t>
      </w:r>
      <w:proofErr w:type="spellStart"/>
      <w:r w:rsidRPr="0019180A">
        <w:rPr>
          <w:sz w:val="24"/>
          <w:lang w:val="pt-PT"/>
        </w:rPr>
        <w:t>Azole</w:t>
      </w:r>
      <w:proofErr w:type="spellEnd"/>
      <w:r w:rsidRPr="0019180A">
        <w:rPr>
          <w:sz w:val="24"/>
          <w:lang w:val="pt-PT"/>
        </w:rPr>
        <w:t xml:space="preserve"> </w:t>
      </w:r>
      <w:proofErr w:type="spellStart"/>
      <w:r w:rsidRPr="0019180A">
        <w:rPr>
          <w:sz w:val="24"/>
          <w:lang w:val="pt-PT"/>
        </w:rPr>
        <w:t>Fungicide</w:t>
      </w:r>
      <w:r w:rsidRPr="0019180A">
        <w:rPr>
          <w:sz w:val="24"/>
          <w:lang w:val="pt-PT"/>
        </w:rPr>
        <w:noBreakHyphen/>
        <w:t>Containing</w:t>
      </w:r>
      <w:proofErr w:type="spellEnd"/>
      <w:r w:rsidRPr="0019180A">
        <w:rPr>
          <w:sz w:val="24"/>
          <w:lang w:val="pt-PT"/>
        </w:rPr>
        <w:t xml:space="preserve"> </w:t>
      </w:r>
      <w:proofErr w:type="spellStart"/>
      <w:r w:rsidRPr="0019180A">
        <w:rPr>
          <w:sz w:val="24"/>
          <w:lang w:val="pt-PT"/>
        </w:rPr>
        <w:t>Plant</w:t>
      </w:r>
      <w:proofErr w:type="spellEnd"/>
      <w:r w:rsidRPr="0019180A">
        <w:rPr>
          <w:sz w:val="24"/>
          <w:lang w:val="pt-PT"/>
        </w:rPr>
        <w:t xml:space="preserve"> </w:t>
      </w:r>
      <w:proofErr w:type="spellStart"/>
      <w:r w:rsidRPr="0019180A">
        <w:rPr>
          <w:sz w:val="24"/>
          <w:lang w:val="pt-PT"/>
        </w:rPr>
        <w:t>Waste</w:t>
      </w:r>
      <w:proofErr w:type="spellEnd"/>
      <w:r w:rsidRPr="0019180A">
        <w:rPr>
          <w:sz w:val="24"/>
          <w:lang w:val="pt-PT"/>
        </w:rPr>
        <w:t xml:space="preserve"> in the </w:t>
      </w:r>
      <w:proofErr w:type="spellStart"/>
      <w:r w:rsidRPr="0019180A">
        <w:rPr>
          <w:sz w:val="24"/>
          <w:lang w:val="pt-PT"/>
        </w:rPr>
        <w:t>Netherlands</w:t>
      </w:r>
      <w:proofErr w:type="spellEnd"/>
      <w:r w:rsidRPr="0019180A">
        <w:rPr>
          <w:sz w:val="24"/>
          <w:lang w:val="pt-PT"/>
        </w:rPr>
        <w:t xml:space="preserve"> (2016</w:t>
      </w:r>
      <w:r w:rsidRPr="0019180A">
        <w:rPr>
          <w:sz w:val="24"/>
          <w:lang w:val="pt-PT"/>
        </w:rPr>
        <w:noBreakHyphen/>
        <w:t xml:space="preserve">2017)» [Dinâmica do </w:t>
      </w:r>
      <w:proofErr w:type="spellStart"/>
      <w:r w:rsidRPr="0019180A">
        <w:rPr>
          <w:sz w:val="24"/>
          <w:lang w:val="pt-PT"/>
        </w:rPr>
        <w:t>Aspergillus</w:t>
      </w:r>
      <w:proofErr w:type="spellEnd"/>
      <w:r w:rsidRPr="0019180A">
        <w:rPr>
          <w:sz w:val="24"/>
          <w:lang w:val="pt-PT"/>
        </w:rPr>
        <w:t xml:space="preserve"> </w:t>
      </w:r>
      <w:proofErr w:type="spellStart"/>
      <w:r w:rsidRPr="0019180A">
        <w:rPr>
          <w:sz w:val="24"/>
          <w:lang w:val="pt-PT"/>
        </w:rPr>
        <w:t>fumigatus</w:t>
      </w:r>
      <w:proofErr w:type="spellEnd"/>
      <w:r w:rsidRPr="0019180A">
        <w:rPr>
          <w:sz w:val="24"/>
          <w:lang w:val="pt-PT"/>
        </w:rPr>
        <w:t xml:space="preserve"> em resíduos vegetais contendo fungicidas </w:t>
      </w:r>
      <w:proofErr w:type="spellStart"/>
      <w:r w:rsidRPr="0019180A">
        <w:rPr>
          <w:sz w:val="24"/>
          <w:lang w:val="pt-PT"/>
        </w:rPr>
        <w:t>azólicos</w:t>
      </w:r>
      <w:proofErr w:type="spellEnd"/>
      <w:r w:rsidRPr="0019180A">
        <w:rPr>
          <w:sz w:val="24"/>
          <w:lang w:val="pt-PT"/>
        </w:rPr>
        <w:t xml:space="preserve"> nos Países Baixos (2016</w:t>
      </w:r>
      <w:r w:rsidRPr="0019180A">
        <w:rPr>
          <w:sz w:val="24"/>
          <w:lang w:val="pt-PT"/>
        </w:rPr>
        <w:noBreakHyphen/>
        <w:t xml:space="preserve">2017)], </w:t>
      </w:r>
      <w:proofErr w:type="spellStart"/>
      <w:r w:rsidRPr="0019180A">
        <w:rPr>
          <w:sz w:val="24"/>
          <w:lang w:val="pt-PT"/>
        </w:rPr>
        <w:t>Applied</w:t>
      </w:r>
      <w:proofErr w:type="spellEnd"/>
      <w:r w:rsidRPr="0019180A">
        <w:rPr>
          <w:sz w:val="24"/>
          <w:lang w:val="pt-PT"/>
        </w:rPr>
        <w:t xml:space="preserve"> </w:t>
      </w:r>
      <w:proofErr w:type="spellStart"/>
      <w:r w:rsidRPr="0019180A">
        <w:rPr>
          <w:sz w:val="24"/>
          <w:lang w:val="pt-PT"/>
        </w:rPr>
        <w:t>and</w:t>
      </w:r>
      <w:proofErr w:type="spellEnd"/>
      <w:r w:rsidRPr="0019180A">
        <w:rPr>
          <w:sz w:val="24"/>
          <w:lang w:val="pt-PT"/>
        </w:rPr>
        <w:t xml:space="preserve"> </w:t>
      </w:r>
      <w:proofErr w:type="spellStart"/>
      <w:r w:rsidRPr="0019180A">
        <w:rPr>
          <w:sz w:val="24"/>
          <w:lang w:val="pt-PT"/>
        </w:rPr>
        <w:t>Environmental</w:t>
      </w:r>
      <w:proofErr w:type="spellEnd"/>
      <w:r w:rsidRPr="0019180A">
        <w:rPr>
          <w:sz w:val="24"/>
          <w:lang w:val="pt-PT"/>
        </w:rPr>
        <w:t xml:space="preserve"> </w:t>
      </w:r>
      <w:proofErr w:type="spellStart"/>
      <w:r w:rsidRPr="0019180A">
        <w:rPr>
          <w:sz w:val="24"/>
          <w:lang w:val="pt-PT"/>
        </w:rPr>
        <w:t>Microbiology</w:t>
      </w:r>
      <w:proofErr w:type="spellEnd"/>
      <w:r w:rsidRPr="0019180A">
        <w:rPr>
          <w:sz w:val="24"/>
          <w:lang w:val="pt-PT"/>
        </w:rPr>
        <w:t xml:space="preserve"> 2021, 87:e02295</w:t>
      </w:r>
      <w:r w:rsidRPr="0019180A">
        <w:rPr>
          <w:sz w:val="24"/>
          <w:lang w:val="pt-PT"/>
        </w:rPr>
        <w:noBreakHyphen/>
        <w:t xml:space="preserve">20, </w:t>
      </w:r>
      <w:r w:rsidR="00570FC4">
        <w:fldChar w:fldCharType="begin"/>
      </w:r>
      <w:r w:rsidR="00570FC4" w:rsidRPr="00570FC4">
        <w:rPr>
          <w:lang w:val="pt-PT"/>
        </w:rPr>
        <w:instrText xml:space="preserve"> HYPERLINK "https://doi.org/10.1128/AEM.02295-20" </w:instrText>
      </w:r>
      <w:r w:rsidR="00570FC4">
        <w:fldChar w:fldCharType="separate"/>
      </w:r>
      <w:r w:rsidRPr="0019180A">
        <w:rPr>
          <w:rStyle w:val="Hyperlink"/>
          <w:sz w:val="24"/>
          <w:lang w:val="pt-PT"/>
        </w:rPr>
        <w:t>https://doi.org/10.1128/AEM.02295</w:t>
      </w:r>
      <w:r w:rsidRPr="0019180A">
        <w:rPr>
          <w:rStyle w:val="Hyperlink"/>
          <w:sz w:val="24"/>
          <w:lang w:val="pt-PT"/>
        </w:rPr>
        <w:noBreakHyphen/>
        <w:t>20</w:t>
      </w:r>
      <w:r w:rsidR="00570FC4">
        <w:rPr>
          <w:rStyle w:val="Hyperlink"/>
          <w:sz w:val="24"/>
          <w:lang w:val="pt-PT"/>
        </w:rPr>
        <w:fldChar w:fldCharType="end"/>
      </w:r>
      <w:r w:rsidRPr="0019180A">
        <w:rPr>
          <w:color w:val="000000"/>
          <w:sz w:val="24"/>
          <w:lang w:val="pt-PT"/>
        </w:rPr>
        <w:t xml:space="preserve">; a Comissão dinamarquesa do Ambiente e da Alimentação sobre a resistência aos </w:t>
      </w:r>
      <w:proofErr w:type="spellStart"/>
      <w:r w:rsidRPr="0019180A">
        <w:rPr>
          <w:color w:val="000000"/>
          <w:sz w:val="24"/>
          <w:lang w:val="pt-PT"/>
        </w:rPr>
        <w:t>azóis</w:t>
      </w:r>
      <w:proofErr w:type="spellEnd"/>
      <w:r w:rsidRPr="0019180A">
        <w:rPr>
          <w:color w:val="000000"/>
          <w:sz w:val="24"/>
          <w:lang w:val="pt-PT"/>
        </w:rPr>
        <w:t>,</w:t>
      </w:r>
      <w:r w:rsidRPr="0019180A">
        <w:rPr>
          <w:sz w:val="24"/>
          <w:lang w:val="pt-PT"/>
        </w:rPr>
        <w:t xml:space="preserve"> </w:t>
      </w:r>
      <w:r w:rsidR="00570FC4">
        <w:fldChar w:fldCharType="begin"/>
      </w:r>
      <w:r w:rsidR="00570FC4" w:rsidRPr="00570FC4">
        <w:rPr>
          <w:lang w:val="pt-PT"/>
        </w:rPr>
        <w:instrText xml:space="preserve"> HYPERLINK "https://www.ft.dk/samling/20181/almdel/MOF/bilag/407/2016336.pdf" </w:instrText>
      </w:r>
      <w:r w:rsidR="00570FC4">
        <w:fldChar w:fldCharType="separate"/>
      </w:r>
      <w:r w:rsidRPr="0019180A">
        <w:rPr>
          <w:rStyle w:val="Hyperlink"/>
          <w:sz w:val="24"/>
          <w:lang w:val="pt-PT"/>
        </w:rPr>
        <w:t>https://www.ft.dk/samling/20181/almdel/MOF/bilag/407/2016336.pdf</w:t>
      </w:r>
      <w:r w:rsidR="00570FC4">
        <w:rPr>
          <w:rStyle w:val="Hyperlink"/>
          <w:sz w:val="24"/>
          <w:lang w:val="pt-PT"/>
        </w:rPr>
        <w:fldChar w:fldCharType="end"/>
      </w:r>
      <w:r w:rsidRPr="0019180A">
        <w:rPr>
          <w:color w:val="000000"/>
          <w:sz w:val="24"/>
          <w:lang w:val="pt-PT"/>
        </w:rPr>
        <w:t xml:space="preserve">; </w:t>
      </w:r>
      <w:proofErr w:type="spellStart"/>
      <w:r w:rsidRPr="0019180A">
        <w:rPr>
          <w:color w:val="000000"/>
          <w:sz w:val="24"/>
          <w:lang w:val="pt-PT"/>
        </w:rPr>
        <w:t>Snelders</w:t>
      </w:r>
      <w:proofErr w:type="spellEnd"/>
      <w:r w:rsidRPr="0019180A">
        <w:rPr>
          <w:color w:val="000000"/>
          <w:sz w:val="24"/>
          <w:lang w:val="pt-PT"/>
        </w:rPr>
        <w:t xml:space="preserve">, E., Camps, S.M.T., </w:t>
      </w:r>
      <w:proofErr w:type="spellStart"/>
      <w:r w:rsidRPr="0019180A">
        <w:rPr>
          <w:color w:val="000000"/>
          <w:sz w:val="24"/>
          <w:lang w:val="pt-PT"/>
        </w:rPr>
        <w:t>Karawajczyk</w:t>
      </w:r>
      <w:proofErr w:type="spellEnd"/>
      <w:r w:rsidRPr="0019180A">
        <w:rPr>
          <w:color w:val="000000"/>
          <w:sz w:val="24"/>
          <w:lang w:val="pt-PT"/>
        </w:rPr>
        <w:t xml:space="preserve">, A., </w:t>
      </w:r>
      <w:proofErr w:type="spellStart"/>
      <w:r w:rsidRPr="0019180A">
        <w:rPr>
          <w:color w:val="000000"/>
          <w:sz w:val="24"/>
          <w:lang w:val="pt-PT"/>
        </w:rPr>
        <w:t>Schaftenaar</w:t>
      </w:r>
      <w:proofErr w:type="spellEnd"/>
      <w:r w:rsidRPr="0019180A">
        <w:rPr>
          <w:color w:val="000000"/>
          <w:sz w:val="24"/>
          <w:lang w:val="pt-PT"/>
        </w:rPr>
        <w:t xml:space="preserve">, G., </w:t>
      </w:r>
      <w:proofErr w:type="spellStart"/>
      <w:r w:rsidRPr="0019180A">
        <w:rPr>
          <w:color w:val="000000"/>
          <w:sz w:val="24"/>
          <w:lang w:val="pt-PT"/>
        </w:rPr>
        <w:t>Kema</w:t>
      </w:r>
      <w:proofErr w:type="spellEnd"/>
      <w:r w:rsidRPr="0019180A">
        <w:rPr>
          <w:color w:val="000000"/>
          <w:sz w:val="24"/>
          <w:lang w:val="pt-PT"/>
        </w:rPr>
        <w:t xml:space="preserve">, G.H.J., van der Lee, H.A., </w:t>
      </w:r>
      <w:proofErr w:type="spellStart"/>
      <w:r w:rsidRPr="0019180A">
        <w:rPr>
          <w:color w:val="000000"/>
          <w:sz w:val="24"/>
          <w:lang w:val="pt-PT"/>
        </w:rPr>
        <w:t>et</w:t>
      </w:r>
      <w:proofErr w:type="spellEnd"/>
      <w:r w:rsidRPr="0019180A">
        <w:rPr>
          <w:color w:val="000000"/>
          <w:sz w:val="24"/>
          <w:lang w:val="pt-PT"/>
        </w:rPr>
        <w:t xml:space="preserve"> al., «</w:t>
      </w:r>
      <w:proofErr w:type="spellStart"/>
      <w:r w:rsidRPr="0019180A">
        <w:rPr>
          <w:color w:val="000000"/>
          <w:sz w:val="24"/>
          <w:lang w:val="pt-PT"/>
        </w:rPr>
        <w:t>Triazole</w:t>
      </w:r>
      <w:proofErr w:type="spellEnd"/>
      <w:r w:rsidRPr="0019180A">
        <w:rPr>
          <w:color w:val="000000"/>
          <w:sz w:val="24"/>
          <w:lang w:val="pt-PT"/>
        </w:rPr>
        <w:t xml:space="preserve"> </w:t>
      </w:r>
      <w:proofErr w:type="spellStart"/>
      <w:r w:rsidRPr="0019180A">
        <w:rPr>
          <w:color w:val="000000"/>
          <w:sz w:val="24"/>
          <w:lang w:val="pt-PT"/>
        </w:rPr>
        <w:t>Fungicides</w:t>
      </w:r>
      <w:proofErr w:type="spellEnd"/>
      <w:r w:rsidRPr="0019180A">
        <w:rPr>
          <w:color w:val="000000"/>
          <w:sz w:val="24"/>
          <w:lang w:val="pt-PT"/>
        </w:rPr>
        <w:t xml:space="preserve"> Can </w:t>
      </w:r>
      <w:proofErr w:type="spellStart"/>
      <w:r w:rsidRPr="0019180A">
        <w:rPr>
          <w:color w:val="000000"/>
          <w:sz w:val="24"/>
          <w:lang w:val="pt-PT"/>
        </w:rPr>
        <w:t>Induce</w:t>
      </w:r>
      <w:proofErr w:type="spellEnd"/>
      <w:r w:rsidRPr="0019180A">
        <w:rPr>
          <w:color w:val="000000"/>
          <w:sz w:val="24"/>
          <w:lang w:val="pt-PT"/>
        </w:rPr>
        <w:t xml:space="preserve"> Cross</w:t>
      </w:r>
      <w:r w:rsidRPr="0019180A">
        <w:rPr>
          <w:color w:val="000000"/>
          <w:sz w:val="24"/>
          <w:lang w:val="pt-PT"/>
        </w:rPr>
        <w:noBreakHyphen/>
      </w:r>
      <w:proofErr w:type="spellStart"/>
      <w:r w:rsidRPr="0019180A">
        <w:rPr>
          <w:color w:val="000000"/>
          <w:sz w:val="24"/>
          <w:lang w:val="pt-PT"/>
        </w:rPr>
        <w:t>Resistance</w:t>
      </w:r>
      <w:proofErr w:type="spellEnd"/>
      <w:r w:rsidRPr="0019180A">
        <w:rPr>
          <w:color w:val="000000"/>
          <w:sz w:val="24"/>
          <w:lang w:val="pt-PT"/>
        </w:rPr>
        <w:t xml:space="preserve"> to Medical </w:t>
      </w:r>
      <w:proofErr w:type="spellStart"/>
      <w:r w:rsidRPr="0019180A">
        <w:rPr>
          <w:color w:val="000000"/>
          <w:sz w:val="24"/>
          <w:lang w:val="pt-PT"/>
        </w:rPr>
        <w:t>Triazoles</w:t>
      </w:r>
      <w:proofErr w:type="spellEnd"/>
      <w:r w:rsidRPr="0019180A">
        <w:rPr>
          <w:color w:val="000000"/>
          <w:sz w:val="24"/>
          <w:lang w:val="pt-PT"/>
        </w:rPr>
        <w:t xml:space="preserve"> in </w:t>
      </w:r>
      <w:proofErr w:type="spellStart"/>
      <w:r w:rsidRPr="0019180A">
        <w:rPr>
          <w:i/>
          <w:color w:val="000000"/>
          <w:sz w:val="24"/>
          <w:lang w:val="pt-PT"/>
        </w:rPr>
        <w:t>Aspergillus</w:t>
      </w:r>
      <w:proofErr w:type="spellEnd"/>
      <w:r w:rsidRPr="0019180A">
        <w:rPr>
          <w:i/>
          <w:color w:val="000000"/>
          <w:sz w:val="24"/>
          <w:lang w:val="pt-PT"/>
        </w:rPr>
        <w:t xml:space="preserve"> </w:t>
      </w:r>
      <w:proofErr w:type="spellStart"/>
      <w:r w:rsidRPr="0019180A">
        <w:rPr>
          <w:i/>
          <w:color w:val="000000"/>
          <w:sz w:val="24"/>
          <w:lang w:val="pt-PT"/>
        </w:rPr>
        <w:t>fumigatus</w:t>
      </w:r>
      <w:proofErr w:type="spellEnd"/>
      <w:r w:rsidRPr="0019180A">
        <w:rPr>
          <w:i/>
          <w:color w:val="000000"/>
          <w:sz w:val="24"/>
          <w:lang w:val="pt-PT"/>
        </w:rPr>
        <w:t xml:space="preserve">» [Fungicidas </w:t>
      </w:r>
      <w:proofErr w:type="spellStart"/>
      <w:r w:rsidRPr="0019180A">
        <w:rPr>
          <w:i/>
          <w:color w:val="000000"/>
          <w:sz w:val="24"/>
          <w:lang w:val="pt-PT"/>
        </w:rPr>
        <w:t>triazólicos</w:t>
      </w:r>
      <w:proofErr w:type="spellEnd"/>
      <w:r w:rsidRPr="0019180A">
        <w:rPr>
          <w:i/>
          <w:color w:val="000000"/>
          <w:sz w:val="24"/>
          <w:lang w:val="pt-PT"/>
        </w:rPr>
        <w:t xml:space="preserve"> podem induzir resistência cruzada a </w:t>
      </w:r>
      <w:proofErr w:type="spellStart"/>
      <w:r w:rsidRPr="0019180A">
        <w:rPr>
          <w:i/>
          <w:color w:val="000000"/>
          <w:sz w:val="24"/>
          <w:lang w:val="pt-PT"/>
        </w:rPr>
        <w:t>triazóis</w:t>
      </w:r>
      <w:proofErr w:type="spellEnd"/>
      <w:r w:rsidRPr="0019180A">
        <w:rPr>
          <w:i/>
          <w:color w:val="000000"/>
          <w:sz w:val="24"/>
          <w:lang w:val="pt-PT"/>
        </w:rPr>
        <w:t xml:space="preserve"> médicos em </w:t>
      </w:r>
      <w:proofErr w:type="spellStart"/>
      <w:r w:rsidRPr="0019180A">
        <w:rPr>
          <w:i/>
          <w:color w:val="000000"/>
          <w:sz w:val="24"/>
          <w:lang w:val="pt-PT"/>
        </w:rPr>
        <w:t>Aspergillus</w:t>
      </w:r>
      <w:proofErr w:type="spellEnd"/>
      <w:r w:rsidRPr="0019180A">
        <w:rPr>
          <w:i/>
          <w:color w:val="000000"/>
          <w:sz w:val="24"/>
          <w:lang w:val="pt-PT"/>
        </w:rPr>
        <w:t xml:space="preserve"> </w:t>
      </w:r>
      <w:proofErr w:type="spellStart"/>
      <w:r w:rsidRPr="0019180A">
        <w:rPr>
          <w:i/>
          <w:color w:val="000000"/>
          <w:sz w:val="24"/>
          <w:lang w:val="pt-PT"/>
        </w:rPr>
        <w:t>fumigatus</w:t>
      </w:r>
      <w:proofErr w:type="spellEnd"/>
      <w:r w:rsidRPr="0019180A">
        <w:rPr>
          <w:color w:val="000000"/>
          <w:sz w:val="24"/>
          <w:lang w:val="pt-PT"/>
        </w:rPr>
        <w:t xml:space="preserve">. </w:t>
      </w:r>
      <w:proofErr w:type="spellStart"/>
      <w:r w:rsidRPr="0019180A">
        <w:rPr>
          <w:color w:val="000000"/>
          <w:sz w:val="24"/>
          <w:lang w:val="pt-PT"/>
        </w:rPr>
        <w:t>PLoS</w:t>
      </w:r>
      <w:proofErr w:type="spellEnd"/>
      <w:r w:rsidRPr="0019180A">
        <w:rPr>
          <w:color w:val="000000"/>
          <w:sz w:val="24"/>
          <w:lang w:val="pt-PT"/>
        </w:rPr>
        <w:t xml:space="preserve"> ONE 2012, 7(3): e31801. https://doi.org/10.1371/journal.pone.0031801.</w:t>
      </w:r>
    </w:p>
  </w:footnote>
  <w:footnote w:id="14">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00570FC4">
        <w:fldChar w:fldCharType="begin"/>
      </w:r>
      <w:r w:rsidR="00570FC4" w:rsidRPr="00570FC4">
        <w:rPr>
          <w:lang w:val="pt-PT"/>
        </w:rPr>
        <w:instrText xml:space="preserve"> HYPERLINK "https://open.efsa.europa.eu/question/EFSA-Q-2022-00040" </w:instrText>
      </w:r>
      <w:r w:rsidR="00570FC4">
        <w:fldChar w:fldCharType="separate"/>
      </w:r>
      <w:r w:rsidRPr="0019180A">
        <w:rPr>
          <w:rStyle w:val="Hyperlink"/>
          <w:sz w:val="24"/>
          <w:lang w:val="pt-PT"/>
        </w:rPr>
        <w:t>https://open.efsa.europa.eu/question/EFSA</w:t>
      </w:r>
      <w:r w:rsidRPr="0019180A">
        <w:rPr>
          <w:rStyle w:val="Hyperlink"/>
          <w:sz w:val="24"/>
          <w:lang w:val="pt-PT"/>
        </w:rPr>
        <w:noBreakHyphen/>
        <w:t>Q</w:t>
      </w:r>
      <w:r w:rsidRPr="0019180A">
        <w:rPr>
          <w:rStyle w:val="Hyperlink"/>
          <w:sz w:val="24"/>
          <w:lang w:val="pt-PT"/>
        </w:rPr>
        <w:noBreakHyphen/>
        <w:t>2022</w:t>
      </w:r>
      <w:r w:rsidRPr="0019180A">
        <w:rPr>
          <w:rStyle w:val="Hyperlink"/>
          <w:sz w:val="24"/>
          <w:lang w:val="pt-PT"/>
        </w:rPr>
        <w:noBreakHyphen/>
        <w:t>00040</w:t>
      </w:r>
      <w:r w:rsidR="00570FC4">
        <w:rPr>
          <w:rStyle w:val="Hyperlink"/>
          <w:sz w:val="24"/>
          <w:lang w:val="pt-PT"/>
        </w:rPr>
        <w:fldChar w:fldCharType="end"/>
      </w:r>
      <w:r w:rsidRPr="0019180A">
        <w:rPr>
          <w:sz w:val="24"/>
          <w:lang w:val="pt-PT"/>
        </w:rPr>
        <w:t>.</w:t>
      </w:r>
    </w:p>
  </w:footnote>
  <w:footnote w:id="15">
    <w:p w:rsidR="001A62D5" w:rsidRPr="0019180A" w:rsidRDefault="001A62D5" w:rsidP="001A43C8">
      <w:pPr>
        <w:pStyle w:val="FootnoteText"/>
        <w:ind w:left="567" w:hanging="567"/>
        <w:rPr>
          <w:sz w:val="24"/>
          <w:lang w:val="pt-PT"/>
        </w:rPr>
      </w:pPr>
      <w:r w:rsidRPr="0019180A">
        <w:rPr>
          <w:rStyle w:val="FootnoteReference"/>
          <w:sz w:val="24"/>
          <w:lang w:val="pt-PT"/>
        </w:rPr>
        <w:footnoteRef/>
      </w:r>
      <w:r w:rsidR="001A43C8" w:rsidRPr="0019180A">
        <w:rPr>
          <w:sz w:val="24"/>
          <w:lang w:val="pt-PT"/>
        </w:rPr>
        <w:t xml:space="preserve"> </w:t>
      </w:r>
      <w:r w:rsidR="001A43C8" w:rsidRPr="0019180A">
        <w:rPr>
          <w:sz w:val="24"/>
          <w:lang w:val="pt-PT"/>
        </w:rPr>
        <w:tab/>
      </w:r>
      <w:r w:rsidR="00570FC4">
        <w:fldChar w:fldCharType="begin"/>
      </w:r>
      <w:r w:rsidR="00570FC4" w:rsidRPr="00570FC4">
        <w:rPr>
          <w:lang w:val="pt-PT"/>
        </w:rPr>
        <w:instrText xml:space="preserve"> HYPERLINK "https://ec.europa.eu/transparency/c</w:instrText>
      </w:r>
      <w:r w:rsidR="00570FC4" w:rsidRPr="00570FC4">
        <w:rPr>
          <w:lang w:val="pt-PT"/>
        </w:rPr>
        <w:instrText xml:space="preserve">omitology-register/screen/documents/089880/5/consult?lang=en" </w:instrText>
      </w:r>
      <w:r w:rsidR="00570FC4">
        <w:fldChar w:fldCharType="separate"/>
      </w:r>
      <w:r w:rsidRPr="0019180A">
        <w:rPr>
          <w:rStyle w:val="Hyperlink"/>
          <w:sz w:val="24"/>
          <w:lang w:val="pt-PT"/>
        </w:rPr>
        <w:t>https://ec.europa.eu/transparency/comitology</w:t>
      </w:r>
      <w:r w:rsidRPr="0019180A">
        <w:rPr>
          <w:rStyle w:val="Hyperlink"/>
          <w:sz w:val="24"/>
          <w:lang w:val="pt-PT"/>
        </w:rPr>
        <w:noBreakHyphen/>
        <w:t>register/screen/documents/089880/5/consult?lang=en</w:t>
      </w:r>
      <w:r w:rsidR="00570FC4">
        <w:rPr>
          <w:rStyle w:val="Hyperlink"/>
          <w:sz w:val="24"/>
          <w:lang w:val="pt-PT"/>
        </w:rPr>
        <w:fldChar w:fldCharType="end"/>
      </w:r>
      <w:r w:rsidRPr="0019180A">
        <w:rPr>
          <w:rStyle w:val="Hyperlink"/>
          <w:sz w:val="24"/>
          <w:lang w:val="pt-PT"/>
        </w:rPr>
        <w:t>.</w:t>
      </w:r>
      <w:r w:rsidRPr="0019180A">
        <w:rPr>
          <w:sz w:val="24"/>
          <w:lang w:val="pt-PT"/>
        </w:rPr>
        <w:t xml:space="preserve"> </w:t>
      </w:r>
    </w:p>
  </w:footnote>
  <w:footnote w:id="16">
    <w:p w:rsidR="001A62D5" w:rsidRPr="001A43C8" w:rsidRDefault="001A62D5" w:rsidP="001A43C8">
      <w:pPr>
        <w:pStyle w:val="FootnoteText"/>
        <w:ind w:left="567" w:hanging="567"/>
        <w:rPr>
          <w:sz w:val="24"/>
          <w:lang w:val="pt-PT"/>
        </w:rPr>
      </w:pPr>
      <w:r w:rsidRPr="0019180A">
        <w:rPr>
          <w:sz w:val="24"/>
          <w:vertAlign w:val="superscript"/>
          <w:lang w:val="pt-PT"/>
        </w:rPr>
        <w:footnoteRef/>
      </w:r>
      <w:r w:rsidR="001A43C8" w:rsidRPr="0019180A">
        <w:rPr>
          <w:sz w:val="24"/>
          <w:lang w:val="pt-PT"/>
        </w:rPr>
        <w:t xml:space="preserve"> </w:t>
      </w:r>
      <w:r w:rsidR="001A43C8" w:rsidRPr="0019180A">
        <w:rPr>
          <w:sz w:val="24"/>
          <w:lang w:val="pt-PT"/>
        </w:rPr>
        <w:tab/>
      </w:r>
      <w:proofErr w:type="gramStart"/>
      <w:r w:rsidRPr="0019180A">
        <w:rPr>
          <w:sz w:val="24"/>
          <w:lang w:val="pt-PT"/>
        </w:rPr>
        <w:t>COM(</w:t>
      </w:r>
      <w:proofErr w:type="gramEnd"/>
      <w:r w:rsidRPr="0019180A">
        <w:rPr>
          <w:sz w:val="24"/>
          <w:lang w:val="pt-PT"/>
        </w:rPr>
        <w:t>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43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43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43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PT"/>
    <w:docVar w:name="dvnumam" w:val="0"/>
    <w:docVar w:name="dvpe" w:val="763.091"/>
    <w:docVar w:name="dvtitre" w:val="Resolução do Parlamento Europeu, de ... de ... de 2024, sobre o projeto de Regulamento da Comissão que altera os anexos II e III do Regulamento (CE) n.º 396/2005 do Parlamento Europeu e do Conselho no que se refere aos limites máximos de resíduos de ciproconazol e espirodiclofena no interior e à superfície de determinados produtos(D091952/05 – 2024/2759(RPS))"/>
  </w:docVars>
  <w:rsids>
    <w:rsidRoot w:val="0009244E"/>
    <w:rsid w:val="00002272"/>
    <w:rsid w:val="00064002"/>
    <w:rsid w:val="000677B9"/>
    <w:rsid w:val="000831BA"/>
    <w:rsid w:val="0009244E"/>
    <w:rsid w:val="000A42CC"/>
    <w:rsid w:val="000E7DD9"/>
    <w:rsid w:val="0010095E"/>
    <w:rsid w:val="00125B37"/>
    <w:rsid w:val="00187494"/>
    <w:rsid w:val="0019180A"/>
    <w:rsid w:val="001A43C8"/>
    <w:rsid w:val="001A62D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FC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4F5"/>
    <w:rsid w:val="00C446B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09C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89D04"/>
  <w15:chartTrackingRefBased/>
  <w15:docId w15:val="{8D03B6AB-9607-4529-8CC2-10395BDDA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62D5"/>
    <w:pPr>
      <w:spacing w:before="480" w:after="240"/>
    </w:pPr>
  </w:style>
  <w:style w:type="paragraph" w:customStyle="1" w:styleId="NormalHanging12a">
    <w:name w:val="NormalHanging12a"/>
    <w:basedOn w:val="Normal"/>
    <w:uiPriority w:val="99"/>
    <w:rsid w:val="001A62D5"/>
    <w:pPr>
      <w:spacing w:after="240"/>
      <w:ind w:left="567" w:hanging="567"/>
    </w:pPr>
  </w:style>
  <w:style w:type="character" w:styleId="Hyperlink">
    <w:name w:val="Hyperlink"/>
    <w:basedOn w:val="DefaultParagraphFont"/>
    <w:uiPriority w:val="99"/>
    <w:rsid w:val="001A62D5"/>
    <w:rPr>
      <w:color w:val="0563C1" w:themeColor="hyperlink"/>
      <w:u w:val="single"/>
    </w:rPr>
  </w:style>
  <w:style w:type="paragraph" w:styleId="BalloonText">
    <w:name w:val="Balloon Text"/>
    <w:basedOn w:val="Normal"/>
    <w:link w:val="BalloonTextChar"/>
    <w:rsid w:val="0019180A"/>
    <w:rPr>
      <w:rFonts w:ascii="Segoe UI" w:hAnsi="Segoe UI" w:cs="Segoe UI"/>
      <w:sz w:val="18"/>
      <w:szCs w:val="18"/>
    </w:rPr>
  </w:style>
  <w:style w:type="character" w:customStyle="1" w:styleId="BalloonTextChar">
    <w:name w:val="Balloon Text Char"/>
    <w:basedOn w:val="DefaultParagraphFont"/>
    <w:link w:val="BalloonText"/>
    <w:rsid w:val="0019180A"/>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88BED-9230-49F0-974B-D99CD5940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2136</Words>
  <Characters>12180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2024-09-18T12:20:00Z</dcterms:created>
  <dcterms:modified xsi:type="dcterms:W3CDTF">2024-09-18T12:20:00Z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B10-0021/2024</vt:lpwstr>
  </property>
  <property fmtid="{D5CDD505-2E9C-101B-9397-08002B2CF9AE}" pid="4" name="&lt;Type&gt;">
    <vt:lpwstr>RR</vt:lpwstr>
  </property>
</Properties>
</file>