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5ED8" w:rsidTr="0010095E">
        <w:trPr>
          <w:trHeight w:hRule="exact" w:val="1418"/>
        </w:trPr>
        <w:tc>
          <w:tcPr>
            <w:tcW w:w="6804" w:type="dxa"/>
            <w:shd w:val="clear" w:color="auto" w:fill="auto"/>
            <w:vAlign w:val="center"/>
          </w:tcPr>
          <w:p w:rsidR="00751A4A" w:rsidRPr="00B85ED8" w:rsidRDefault="004650C3" w:rsidP="0010095E">
            <w:pPr>
              <w:pStyle w:val="EPName"/>
            </w:pPr>
            <w:r w:rsidRPr="00B85ED8">
              <w:t>Parlamentul European</w:t>
            </w:r>
          </w:p>
          <w:p w:rsidR="00751A4A" w:rsidRPr="00B85ED8" w:rsidRDefault="005F1B17" w:rsidP="005F1B17">
            <w:pPr>
              <w:pStyle w:val="EPTerm"/>
              <w:rPr>
                <w:rStyle w:val="HideTWBExt"/>
                <w:noProof w:val="0"/>
                <w:vanish w:val="0"/>
                <w:color w:val="auto"/>
              </w:rPr>
            </w:pPr>
            <w:r w:rsidRPr="00B85ED8">
              <w:t>2024</w:t>
            </w:r>
            <w:r w:rsidR="00817416" w:rsidRPr="00B85ED8">
              <w:t>-202</w:t>
            </w:r>
            <w:r w:rsidRPr="00B85ED8">
              <w:t>9</w:t>
            </w:r>
          </w:p>
        </w:tc>
        <w:tc>
          <w:tcPr>
            <w:tcW w:w="2268" w:type="dxa"/>
            <w:shd w:val="clear" w:color="auto" w:fill="auto"/>
          </w:tcPr>
          <w:p w:rsidR="00751A4A" w:rsidRPr="00B85ED8" w:rsidRDefault="00187494" w:rsidP="0010095E">
            <w:pPr>
              <w:pStyle w:val="EPLogo"/>
            </w:pPr>
            <w:r w:rsidRPr="00B85ED8">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5ED8" w:rsidRDefault="00D058B8" w:rsidP="004C5D52">
      <w:pPr>
        <w:pStyle w:val="LineTop"/>
      </w:pPr>
    </w:p>
    <w:p w:rsidR="00680577" w:rsidRPr="00B85ED8" w:rsidRDefault="004650C3" w:rsidP="00680577">
      <w:pPr>
        <w:pStyle w:val="EPBodyTA1"/>
      </w:pPr>
      <w:r w:rsidRPr="00B85ED8">
        <w:t>TEXTE ADOPTATE</w:t>
      </w:r>
    </w:p>
    <w:p w:rsidR="00D058B8" w:rsidRPr="00B85ED8" w:rsidRDefault="00D058B8" w:rsidP="00D058B8">
      <w:pPr>
        <w:pStyle w:val="LineBottom"/>
      </w:pPr>
    </w:p>
    <w:p w:rsidR="004650C3" w:rsidRPr="00B85ED8" w:rsidRDefault="004650C3" w:rsidP="004650C3">
      <w:pPr>
        <w:pStyle w:val="ATHeading1"/>
      </w:pPr>
      <w:bookmarkStart w:id="0" w:name="TANumber"/>
      <w:r w:rsidRPr="00B85ED8">
        <w:t>P10_TA(2024)000</w:t>
      </w:r>
      <w:bookmarkEnd w:id="0"/>
      <w:r w:rsidR="00877F80">
        <w:t>7</w:t>
      </w:r>
    </w:p>
    <w:p w:rsidR="004650C3" w:rsidRPr="00B85ED8" w:rsidRDefault="00581A4F" w:rsidP="00581A4F">
      <w:pPr>
        <w:pStyle w:val="ATHeading2"/>
      </w:pPr>
      <w:bookmarkStart w:id="1" w:name="title"/>
      <w:r>
        <w:t xml:space="preserve">Obiecție la un act de punere în aplicare: limitele maxime de reziduuri pentru </w:t>
      </w:r>
      <w:proofErr w:type="spellStart"/>
      <w:r>
        <w:t>ciproconazol</w:t>
      </w:r>
      <w:bookmarkEnd w:id="1"/>
      <w:proofErr w:type="spellEnd"/>
    </w:p>
    <w:p w:rsidR="004650C3" w:rsidRPr="00B85ED8" w:rsidRDefault="004650C3" w:rsidP="004650C3">
      <w:pPr>
        <w:rPr>
          <w:i/>
          <w:vanish/>
        </w:rPr>
      </w:pPr>
      <w:r w:rsidRPr="00B85ED8">
        <w:rPr>
          <w:i/>
        </w:rPr>
        <w:fldChar w:fldCharType="begin"/>
      </w:r>
      <w:r w:rsidRPr="00B85ED8">
        <w:rPr>
          <w:i/>
        </w:rPr>
        <w:instrText xml:space="preserve"> TC"(</w:instrText>
      </w:r>
      <w:bookmarkStart w:id="2" w:name="DocNumber"/>
      <w:r w:rsidRPr="00B85ED8">
        <w:rPr>
          <w:i/>
        </w:rPr>
        <w:instrText>B10-0021/2024</w:instrText>
      </w:r>
      <w:bookmarkEnd w:id="2"/>
      <w:r w:rsidRPr="00B85ED8">
        <w:rPr>
          <w:i/>
        </w:rPr>
        <w:instrText xml:space="preserve">)"\l3 \n&gt; \* MERGEFORMAT </w:instrText>
      </w:r>
      <w:r w:rsidRPr="00B85ED8">
        <w:rPr>
          <w:i/>
        </w:rPr>
        <w:fldChar w:fldCharType="end"/>
      </w:r>
    </w:p>
    <w:p w:rsidR="004650C3" w:rsidRPr="00B85ED8" w:rsidRDefault="004650C3" w:rsidP="004650C3">
      <w:pPr>
        <w:rPr>
          <w:vanish/>
        </w:rPr>
      </w:pPr>
      <w:bookmarkStart w:id="3" w:name="PE"/>
      <w:r w:rsidRPr="00B85ED8">
        <w:rPr>
          <w:vanish/>
        </w:rPr>
        <w:t>PE763.091</w:t>
      </w:r>
      <w:bookmarkEnd w:id="3"/>
    </w:p>
    <w:p w:rsidR="004650C3" w:rsidRPr="00B85ED8" w:rsidRDefault="004650C3" w:rsidP="004650C3">
      <w:pPr>
        <w:pStyle w:val="ATHeading3"/>
      </w:pPr>
      <w:bookmarkStart w:id="4" w:name="Sujet"/>
      <w:r w:rsidRPr="00B85ED8">
        <w:t xml:space="preserve">Rezoluția Parlamentului European din </w:t>
      </w:r>
      <w:r w:rsidR="00581A4F">
        <w:t>18</w:t>
      </w:r>
      <w:r w:rsidRPr="00B85ED8">
        <w:t xml:space="preserve"> septembrie 2024 referitoare la proiectul de regulament al Comisiei de modificare a anexelor II și III la Regulamentul (CE) nr. 396/2005 al Parlamentului European și al Consiliului în ceea ce privește limitele maxime de reziduuri aplicabile substanțelor </w:t>
      </w:r>
      <w:proofErr w:type="spellStart"/>
      <w:r w:rsidRPr="00B85ED8">
        <w:t>ciproconazol</w:t>
      </w:r>
      <w:proofErr w:type="spellEnd"/>
      <w:r w:rsidRPr="00B85ED8">
        <w:t xml:space="preserve"> și </w:t>
      </w:r>
      <w:proofErr w:type="spellStart"/>
      <w:r w:rsidRPr="00B85ED8">
        <w:t>spirodiclofen</w:t>
      </w:r>
      <w:proofErr w:type="spellEnd"/>
      <w:r w:rsidRPr="00B85ED8">
        <w:t xml:space="preserve"> din sau de pe anumite produse</w:t>
      </w:r>
      <w:bookmarkEnd w:id="4"/>
      <w:r w:rsidRPr="00B85ED8">
        <w:t xml:space="preserve"> </w:t>
      </w:r>
      <w:bookmarkStart w:id="5" w:name="References"/>
      <w:r w:rsidRPr="00B85ED8">
        <w:t>(D091952/05 – 2024/2759(RPS))</w:t>
      </w:r>
      <w:bookmarkEnd w:id="5"/>
    </w:p>
    <w:p w:rsidR="0068564E" w:rsidRPr="00B85ED8" w:rsidRDefault="0068564E" w:rsidP="0068564E">
      <w:pPr>
        <w:pStyle w:val="EPComma"/>
      </w:pPr>
      <w:bookmarkStart w:id="6" w:name="TextBodyBegin"/>
      <w:bookmarkEnd w:id="6"/>
      <w:r w:rsidRPr="00B85ED8">
        <w:rPr>
          <w:i/>
          <w:iCs/>
        </w:rPr>
        <w:t>Parlamentul European</w:t>
      </w:r>
      <w:r w:rsidRPr="00B85ED8">
        <w:t>,</w:t>
      </w:r>
    </w:p>
    <w:p w:rsidR="0068564E" w:rsidRPr="00B85ED8" w:rsidRDefault="0068564E" w:rsidP="0068564E">
      <w:pPr>
        <w:pStyle w:val="NormalHanging12a"/>
      </w:pPr>
      <w:r w:rsidRPr="00B85ED8">
        <w:t>–</w:t>
      </w:r>
      <w:r w:rsidRPr="00B85ED8">
        <w:tab/>
        <w:t xml:space="preserve">având în vedere proiectul de regulament al Comisiei de modificare a anexelor II și III la Regulamentul (CE) nr. 396/2005 al Parlamentului European și al Consiliului în ceea ce privește limitele maxime de reziduuri aplicabile substanțelor </w:t>
      </w:r>
      <w:proofErr w:type="spellStart"/>
      <w:r w:rsidRPr="00B85ED8">
        <w:t>ciproconazol</w:t>
      </w:r>
      <w:proofErr w:type="spellEnd"/>
      <w:r w:rsidRPr="00B85ED8">
        <w:t xml:space="preserve"> și </w:t>
      </w:r>
      <w:proofErr w:type="spellStart"/>
      <w:r w:rsidRPr="00B85ED8">
        <w:t>spirodiclofen</w:t>
      </w:r>
      <w:proofErr w:type="spellEnd"/>
      <w:r w:rsidRPr="00B85ED8">
        <w:t xml:space="preserve"> din sau de pe anumite produse (D091952/05),</w:t>
      </w:r>
    </w:p>
    <w:p w:rsidR="0068564E" w:rsidRPr="00B85ED8" w:rsidRDefault="0068564E" w:rsidP="0068564E">
      <w:pPr>
        <w:pStyle w:val="NormalHanging12a"/>
        <w:rPr>
          <w:szCs w:val="24"/>
        </w:rPr>
      </w:pPr>
      <w:r w:rsidRPr="00B85ED8">
        <w:t>–</w:t>
      </w:r>
      <w:r w:rsidRPr="00B85ED8">
        <w:tab/>
        <w:t>având în vedere Regulamentul (CE) nr. 396/2005 al Parlamentului European și al Consiliului din 23 februarie 2005 privind conținuturile maxime aplicabile reziduurilor de pesticide din sau de pe produse alimentare și hrana de origine vegetală și animală pentru animale și de modificare a Directivei 91/414/CEE</w:t>
      </w:r>
      <w:r w:rsidRPr="00B85ED8">
        <w:rPr>
          <w:rStyle w:val="FootnoteReference"/>
        </w:rPr>
        <w:footnoteReference w:id="1"/>
      </w:r>
      <w:r w:rsidRPr="00B85ED8">
        <w:t>, în special articolul 14 alineatul (1) litera (a) și articolul 49 alineatul (2),</w:t>
      </w:r>
    </w:p>
    <w:p w:rsidR="0068564E" w:rsidRPr="00B85ED8" w:rsidRDefault="0068564E" w:rsidP="0068564E">
      <w:pPr>
        <w:pStyle w:val="NormalHanging12a"/>
        <w:rPr>
          <w:szCs w:val="24"/>
        </w:rPr>
      </w:pPr>
      <w:r w:rsidRPr="00B85ED8">
        <w:t>–</w:t>
      </w:r>
      <w:r w:rsidRPr="00B85ED8">
        <w:tab/>
        <w:t>având în vedere Regulamentul (CE) nr. 1107/2009 al Parlamentului European și al Consiliului din 21 octombrie 2009 privind introducerea pe piață a produselor fitosanitare și de abrogare a Directivelor 79/117/CEE și 91/414/CEE</w:t>
      </w:r>
      <w:r w:rsidRPr="00B85ED8">
        <w:rPr>
          <w:rStyle w:val="FootnoteReference"/>
          <w:szCs w:val="24"/>
        </w:rPr>
        <w:footnoteReference w:id="2"/>
      </w:r>
      <w:r w:rsidRPr="00B85ED8">
        <w:t xml:space="preserve"> ale Consiliului, în special articolul 4 alineatul (1), articolul 4 alineatul (2) primul paragraf litera (a) și punctul 3.6.4 din anexa II,</w:t>
      </w:r>
    </w:p>
    <w:p w:rsidR="0068564E" w:rsidRPr="00B85ED8" w:rsidRDefault="0068564E" w:rsidP="0068564E">
      <w:pPr>
        <w:pStyle w:val="NormalHanging12a"/>
        <w:rPr>
          <w:szCs w:val="24"/>
        </w:rPr>
      </w:pPr>
      <w:r w:rsidRPr="00B85ED8">
        <w:t>–</w:t>
      </w:r>
      <w:r w:rsidRPr="00B85ED8">
        <w:tab/>
        <w:t>având în vedere 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w:t>
      </w:r>
      <w:r w:rsidRPr="00B85ED8">
        <w:rPr>
          <w:rStyle w:val="FootnoteReference"/>
          <w:szCs w:val="24"/>
        </w:rPr>
        <w:footnoteReference w:id="3"/>
      </w:r>
      <w:r w:rsidRPr="00B85ED8">
        <w:t>, în special articolul 5 alineatul (1),</w:t>
      </w:r>
    </w:p>
    <w:p w:rsidR="0068564E" w:rsidRPr="00B85ED8" w:rsidRDefault="0068564E" w:rsidP="0068564E">
      <w:pPr>
        <w:pStyle w:val="NormalHanging12a"/>
        <w:rPr>
          <w:szCs w:val="24"/>
        </w:rPr>
      </w:pPr>
      <w:r w:rsidRPr="00B85ED8">
        <w:lastRenderedPageBreak/>
        <w:t>–</w:t>
      </w:r>
      <w:r w:rsidRPr="00B85ED8">
        <w:tab/>
        <w:t>având în vedere articolele 11, 13, 168 și 191 din Tratatul privind funcționarea Uniunii Europene (TFUE),</w:t>
      </w:r>
    </w:p>
    <w:p w:rsidR="0068564E" w:rsidRPr="00B85ED8" w:rsidRDefault="0068564E" w:rsidP="0068564E">
      <w:pPr>
        <w:pStyle w:val="NormalHanging12a"/>
      </w:pPr>
      <w:r w:rsidRPr="00B85ED8">
        <w:t>–</w:t>
      </w:r>
      <w:r w:rsidRPr="00B85ED8">
        <w:tab/>
        <w:t>având în vedere avizul motivat adoptat de Autoritatea Europeană pentru Siguranța Alimentară (EFSA) la 19 februarie 2021 și publicat la 22 martie 2021</w:t>
      </w:r>
      <w:r w:rsidRPr="00B85ED8">
        <w:rPr>
          <w:rStyle w:val="FootnoteReference"/>
          <w:szCs w:val="24"/>
        </w:rPr>
        <w:footnoteReference w:id="4"/>
      </w:r>
      <w:r w:rsidRPr="00B85ED8">
        <w:t>,</w:t>
      </w:r>
    </w:p>
    <w:p w:rsidR="0068564E" w:rsidRPr="00B85ED8" w:rsidRDefault="0068564E" w:rsidP="0068564E">
      <w:pPr>
        <w:pStyle w:val="NormalHanging12a"/>
        <w:rPr>
          <w:szCs w:val="24"/>
        </w:rPr>
      </w:pPr>
      <w:r w:rsidRPr="00B85ED8">
        <w:t>–</w:t>
      </w:r>
      <w:r w:rsidRPr="00B85ED8">
        <w:tab/>
        <w:t>având în vedere concluzia cu privire la examinarea</w:t>
      </w:r>
      <w:r w:rsidRPr="00B85ED8">
        <w:rPr>
          <w:i/>
          <w:iCs/>
        </w:rPr>
        <w:t xml:space="preserve"> inter </w:t>
      </w:r>
      <w:proofErr w:type="spellStart"/>
      <w:r w:rsidRPr="00B85ED8">
        <w:rPr>
          <w:i/>
          <w:iCs/>
        </w:rPr>
        <w:t>pares</w:t>
      </w:r>
      <w:proofErr w:type="spellEnd"/>
      <w:r w:rsidRPr="00B85ED8">
        <w:t xml:space="preserve"> a pesticidelor, adoptată de EFSA la 8 noiembrie 2010 și publicată la 25 noiembrie 2010</w:t>
      </w:r>
      <w:r w:rsidRPr="00B85ED8">
        <w:rPr>
          <w:rStyle w:val="FootnoteReference"/>
        </w:rPr>
        <w:footnoteReference w:id="5"/>
      </w:r>
      <w:r w:rsidRPr="00B85ED8">
        <w:t>,</w:t>
      </w:r>
    </w:p>
    <w:p w:rsidR="0068564E" w:rsidRPr="00B85ED8" w:rsidRDefault="0068564E" w:rsidP="0068564E">
      <w:pPr>
        <w:pStyle w:val="NormalHanging12a"/>
        <w:rPr>
          <w:szCs w:val="24"/>
        </w:rPr>
      </w:pPr>
      <w:r w:rsidRPr="00B85ED8">
        <w:t>–</w:t>
      </w:r>
      <w:r w:rsidRPr="00B85ED8">
        <w:tab/>
        <w:t>având în vedere avizul adoptat de Comitetul pentru evaluarea riscurilor (CER) al Agenției Europene pentru Produse Chimice la 11 septembrie 2015</w:t>
      </w:r>
      <w:r w:rsidRPr="00B85ED8">
        <w:rPr>
          <w:rStyle w:val="FootnoteReference"/>
          <w:szCs w:val="24"/>
        </w:rPr>
        <w:footnoteReference w:id="6"/>
      </w:r>
      <w:r w:rsidRPr="00B85ED8">
        <w:t>,</w:t>
      </w:r>
    </w:p>
    <w:p w:rsidR="0068564E" w:rsidRPr="00B85ED8" w:rsidRDefault="0068564E" w:rsidP="0068564E">
      <w:pPr>
        <w:pStyle w:val="NormalHanging12a"/>
      </w:pPr>
      <w:r w:rsidRPr="00B85ED8">
        <w:t>–</w:t>
      </w:r>
      <w:r w:rsidRPr="00B85ED8">
        <w:tab/>
        <w:t>având în vedere articolul 5a alineatul (3) litera (b) și articolul 5a alineatul (5) din Decizia 1999/468/CE a Consiliului din 28 iunie 1999 de stabilire a normelor privind exercitarea competențelor de executare conferite Comisiei</w:t>
      </w:r>
      <w:r w:rsidRPr="00B85ED8">
        <w:rPr>
          <w:rStyle w:val="FootnoteReference"/>
        </w:rPr>
        <w:footnoteReference w:id="7"/>
      </w:r>
      <w:r w:rsidRPr="00B85ED8">
        <w:t>,</w:t>
      </w:r>
    </w:p>
    <w:p w:rsidR="0068564E" w:rsidRPr="00B85ED8" w:rsidRDefault="0068564E" w:rsidP="0068564E">
      <w:pPr>
        <w:pStyle w:val="NormalHanging12a"/>
      </w:pPr>
      <w:r w:rsidRPr="00B85ED8">
        <w:t>–</w:t>
      </w:r>
      <w:r w:rsidRPr="00B85ED8">
        <w:tab/>
        <w:t>având în vedere articolul 115 alineatele (2) și (3) și alineatul (4) litera (c) din Regulamentul său de procedură,</w:t>
      </w:r>
    </w:p>
    <w:p w:rsidR="0068564E" w:rsidRPr="00B85ED8" w:rsidRDefault="0068564E" w:rsidP="0068564E">
      <w:pPr>
        <w:pStyle w:val="NormalHanging12a"/>
      </w:pPr>
      <w:r w:rsidRPr="00B85ED8">
        <w:t>–</w:t>
      </w:r>
      <w:r w:rsidRPr="00B85ED8">
        <w:tab/>
        <w:t>având în vedere propunerea de rezoluție a Comisiei pentru mediu, sănătate publică și siguranță alimentară,</w:t>
      </w:r>
    </w:p>
    <w:p w:rsidR="0068564E" w:rsidRPr="00B85ED8" w:rsidRDefault="0068564E" w:rsidP="0068564E">
      <w:pPr>
        <w:pStyle w:val="NormalHanging12a"/>
      </w:pPr>
      <w:r w:rsidRPr="00B85ED8">
        <w:t>A.</w:t>
      </w:r>
      <w:r w:rsidRPr="00B85ED8">
        <w:tab/>
        <w:t>întrucât protestele fermierilor care au avut loc în prima jumătate a anului 2024 au inclus printre principalele lor revendicări un tratament corect și echitabil pentru produsele importate din țări terțe, care ar trebui să respecte aceleași standarde ca produsele fabricate în Uniune;</w:t>
      </w:r>
    </w:p>
    <w:p w:rsidR="0068564E" w:rsidRPr="00B85ED8" w:rsidRDefault="0068564E" w:rsidP="0068564E">
      <w:pPr>
        <w:pStyle w:val="NormalHanging12a"/>
      </w:pPr>
      <w:r w:rsidRPr="00B85ED8">
        <w:t>B.</w:t>
      </w:r>
      <w:r w:rsidRPr="00B85ED8">
        <w:tab/>
        <w:t>întrucât adoptarea proiectului de regulament al Comisiei ar permite să se importe în continuare în Uniune produse care nu respectă standardele pe care le respectă fermierii din Uniune;</w:t>
      </w:r>
    </w:p>
    <w:p w:rsidR="0068564E" w:rsidRPr="00B85ED8" w:rsidRDefault="0068564E" w:rsidP="0068564E">
      <w:pPr>
        <w:pStyle w:val="NormalHanging12a"/>
      </w:pPr>
      <w:r w:rsidRPr="00B85ED8">
        <w:t>C.</w:t>
      </w:r>
      <w:r w:rsidRPr="00B85ED8">
        <w:tab/>
        <w:t>întrucât o astfel de situație ar crea un dezavantaj concurențial pentru agricultorii din Uniune;</w:t>
      </w:r>
    </w:p>
    <w:p w:rsidR="0068564E" w:rsidRPr="00B85ED8" w:rsidRDefault="0068564E" w:rsidP="0068564E">
      <w:pPr>
        <w:pStyle w:val="NormalHanging12a"/>
      </w:pPr>
      <w:r w:rsidRPr="00B85ED8">
        <w:t>D.</w:t>
      </w:r>
      <w:r w:rsidRPr="00B85ED8">
        <w:tab/>
        <w:t xml:space="preserve">întrucât </w:t>
      </w:r>
      <w:proofErr w:type="spellStart"/>
      <w:r w:rsidRPr="00B85ED8">
        <w:t>ciproconazolul</w:t>
      </w:r>
      <w:proofErr w:type="spellEnd"/>
      <w:r w:rsidRPr="00B85ED8">
        <w:t xml:space="preserve"> este un fungicid din clasa </w:t>
      </w:r>
      <w:proofErr w:type="spellStart"/>
      <w:r w:rsidRPr="00B85ED8">
        <w:t>azolilor</w:t>
      </w:r>
      <w:proofErr w:type="spellEnd"/>
      <w:r w:rsidRPr="00B85ED8">
        <w:t>, utilizat în principal pe culturi de cereale, cafea, sfeclă de zahăr, mere, struguri și arahide;</w:t>
      </w:r>
    </w:p>
    <w:p w:rsidR="0068564E" w:rsidRPr="00B85ED8" w:rsidRDefault="0068564E" w:rsidP="0068564E">
      <w:pPr>
        <w:pStyle w:val="NormalHanging12a"/>
      </w:pPr>
      <w:r w:rsidRPr="00B85ED8">
        <w:t>E.</w:t>
      </w:r>
      <w:r w:rsidRPr="00B85ED8">
        <w:tab/>
        <w:t xml:space="preserve">întrucât aprobarea substanței active </w:t>
      </w:r>
      <w:proofErr w:type="spellStart"/>
      <w:r w:rsidRPr="00B85ED8">
        <w:t>ciproconazol</w:t>
      </w:r>
      <w:proofErr w:type="spellEnd"/>
      <w:r w:rsidRPr="00B85ED8">
        <w:t xml:space="preserve"> a expirat la 31 mai 2021; întrucât o cerere de reînnoire a fost depusă în septembrie 2018, dar a fost retrasă în decembrie </w:t>
      </w:r>
      <w:r w:rsidRPr="00B85ED8">
        <w:lastRenderedPageBreak/>
        <w:t xml:space="preserve">2018; întrucât toate autorizațiile existente pentru produsele de protecție a plantelor care conțin </w:t>
      </w:r>
      <w:proofErr w:type="spellStart"/>
      <w:r w:rsidRPr="00B85ED8">
        <w:t>ciproconazol</w:t>
      </w:r>
      <w:proofErr w:type="spellEnd"/>
      <w:r w:rsidRPr="00B85ED8">
        <w:t xml:space="preserve"> au fost revocate;</w:t>
      </w:r>
    </w:p>
    <w:p w:rsidR="0068564E" w:rsidRPr="00B85ED8" w:rsidRDefault="0068564E" w:rsidP="0068564E">
      <w:pPr>
        <w:pStyle w:val="NormalHanging12a"/>
      </w:pPr>
      <w:r w:rsidRPr="00B85ED8">
        <w:t>F.</w:t>
      </w:r>
      <w:r w:rsidRPr="00B85ED8">
        <w:tab/>
        <w:t xml:space="preserve">întrucât substanța </w:t>
      </w:r>
      <w:proofErr w:type="spellStart"/>
      <w:r w:rsidRPr="00B85ED8">
        <w:t>ciproconazol</w:t>
      </w:r>
      <w:proofErr w:type="spellEnd"/>
      <w:r w:rsidRPr="00B85ED8">
        <w:t xml:space="preserve"> este clasificată în conformitate cu Regulamentul (CE) nr. 1272/2008 al Parlamentului European și al Consiliului</w:t>
      </w:r>
      <w:r w:rsidRPr="00B85ED8">
        <w:rPr>
          <w:rStyle w:val="FootnoteReference"/>
        </w:rPr>
        <w:footnoteReference w:id="8"/>
      </w:r>
      <w:r w:rsidRPr="00B85ED8">
        <w:t xml:space="preserve"> ca fiind toxică pentru reproducere din categoria 1B, toxică în caz de înghițire (toxicitate acută 3), toxică pentru ficat (STOT RE 2), precum și foarte toxică pentru mediul acvatic (toxicitate acvatică acută 1) și foarte toxică pentru mediul acvatic cu efecte pe termen lung (toxicitate acvatică cronică 1)</w:t>
      </w:r>
      <w:r w:rsidRPr="00B85ED8">
        <w:rPr>
          <w:rStyle w:val="FootnoteReference"/>
        </w:rPr>
        <w:footnoteReference w:id="9"/>
      </w:r>
      <w:r w:rsidRPr="00B85ED8">
        <w:t>;</w:t>
      </w:r>
    </w:p>
    <w:p w:rsidR="0068564E" w:rsidRPr="00B85ED8" w:rsidRDefault="0068564E" w:rsidP="0068564E">
      <w:pPr>
        <w:pStyle w:val="NormalHanging12a"/>
      </w:pPr>
      <w:r w:rsidRPr="00B85ED8">
        <w:t>G.</w:t>
      </w:r>
      <w:r w:rsidRPr="00B85ED8">
        <w:tab/>
        <w:t xml:space="preserve">întrucât substanța </w:t>
      </w:r>
      <w:proofErr w:type="spellStart"/>
      <w:r w:rsidRPr="00B85ED8">
        <w:t>ciproconazol</w:t>
      </w:r>
      <w:proofErr w:type="spellEnd"/>
      <w:r w:rsidRPr="00B85ED8">
        <w:t xml:space="preserve"> este un inhibitor al biosintezei ergosterolului din clasa „</w:t>
      </w:r>
      <w:proofErr w:type="spellStart"/>
      <w:r w:rsidRPr="00B85ED8">
        <w:t>triazolilor</w:t>
      </w:r>
      <w:proofErr w:type="spellEnd"/>
      <w:r w:rsidRPr="00B85ED8">
        <w:t>” și, prin urmare, ar putea avea efecte de perturbare a sistemului endocrin</w:t>
      </w:r>
      <w:r w:rsidRPr="00B85ED8">
        <w:rPr>
          <w:rStyle w:val="FootnoteReference"/>
        </w:rPr>
        <w:footnoteReference w:id="10"/>
      </w:r>
      <w:r w:rsidRPr="00B85ED8">
        <w:t>; întrucât potențialul său de perturbare a sistemului endocrin nu a fost evaluat de EFSA în conformitate cu criteriile științifice pentru determinarea proprietăților care perturbă sistemul endocrin stabilite în Regulamentul (UE) 2018/605 al Comisiei</w:t>
      </w:r>
      <w:r w:rsidRPr="00B85ED8">
        <w:rPr>
          <w:rStyle w:val="FootnoteReference"/>
        </w:rPr>
        <w:footnoteReference w:id="11"/>
      </w:r>
      <w:r w:rsidRPr="00B85ED8">
        <w:t>, care se aplică de la 10 noiembrie 2018; întrucât efectele legate de sistemul endocrin apar frecvent la doze mici, iar perturbatorii endocrini adesea nu au un prag de siguranță</w:t>
      </w:r>
      <w:r w:rsidRPr="00B85ED8">
        <w:rPr>
          <w:rStyle w:val="FootnoteReference"/>
        </w:rPr>
        <w:footnoteReference w:id="12"/>
      </w:r>
      <w:r w:rsidRPr="00B85ED8">
        <w:t>;</w:t>
      </w:r>
    </w:p>
    <w:p w:rsidR="0068564E" w:rsidRPr="00B85ED8" w:rsidRDefault="0068564E" w:rsidP="0068564E">
      <w:pPr>
        <w:pStyle w:val="NormalHanging12a"/>
      </w:pPr>
      <w:r w:rsidRPr="00B85ED8">
        <w:t>H.</w:t>
      </w:r>
      <w:r w:rsidRPr="00B85ED8">
        <w:tab/>
        <w:t xml:space="preserve">întrucât un număr tot mai mare de publicații evidențiază faptul că fungicidele </w:t>
      </w:r>
      <w:proofErr w:type="spellStart"/>
      <w:r w:rsidRPr="00B85ED8">
        <w:t>azolice</w:t>
      </w:r>
      <w:proofErr w:type="spellEnd"/>
      <w:r w:rsidRPr="00B85ED8">
        <w:t xml:space="preserve"> reprezintă o sursă importantă a rezistenței tot mai mari a mediului la </w:t>
      </w:r>
      <w:proofErr w:type="spellStart"/>
      <w:r w:rsidRPr="00B85ED8">
        <w:rPr>
          <w:i/>
          <w:iCs/>
        </w:rPr>
        <w:t>Aspergillus</w:t>
      </w:r>
      <w:proofErr w:type="spellEnd"/>
      <w:r w:rsidRPr="00B85ED8">
        <w:rPr>
          <w:i/>
          <w:iCs/>
        </w:rPr>
        <w:t xml:space="preserve"> </w:t>
      </w:r>
      <w:proofErr w:type="spellStart"/>
      <w:r w:rsidRPr="00B85ED8">
        <w:rPr>
          <w:i/>
          <w:iCs/>
        </w:rPr>
        <w:t>spp</w:t>
      </w:r>
      <w:proofErr w:type="spellEnd"/>
      <w:r w:rsidRPr="00B85ED8">
        <w:rPr>
          <w:rStyle w:val="FootnoteReference"/>
        </w:rPr>
        <w:footnoteReference w:id="13"/>
      </w:r>
      <w:r w:rsidRPr="00B85ED8">
        <w:t xml:space="preserve">; întrucât Comisia a solicitat EFSA să evalueze impactul utilizării fungicidelor </w:t>
      </w:r>
      <w:proofErr w:type="spellStart"/>
      <w:r w:rsidRPr="00B85ED8">
        <w:t>azolice</w:t>
      </w:r>
      <w:proofErr w:type="spellEnd"/>
      <w:r w:rsidRPr="00B85ED8">
        <w:t xml:space="preserve">, </w:t>
      </w:r>
      <w:r w:rsidRPr="00B85ED8">
        <w:lastRenderedPageBreak/>
        <w:t xml:space="preserve">altele decât medicamentele de uz uman, asupra dezvoltării </w:t>
      </w:r>
      <w:proofErr w:type="spellStart"/>
      <w:r w:rsidRPr="00B85ED8">
        <w:rPr>
          <w:i/>
          <w:iCs/>
        </w:rPr>
        <w:t>Aspergillus</w:t>
      </w:r>
      <w:proofErr w:type="spellEnd"/>
      <w:r w:rsidRPr="00B85ED8">
        <w:rPr>
          <w:i/>
          <w:iCs/>
        </w:rPr>
        <w:t xml:space="preserve"> </w:t>
      </w:r>
      <w:proofErr w:type="spellStart"/>
      <w:r w:rsidRPr="00B85ED8">
        <w:rPr>
          <w:i/>
          <w:iCs/>
        </w:rPr>
        <w:t>spp</w:t>
      </w:r>
      <w:proofErr w:type="spellEnd"/>
      <w:r w:rsidRPr="00B85ED8">
        <w:t xml:space="preserve"> rezistent la </w:t>
      </w:r>
      <w:proofErr w:type="spellStart"/>
      <w:r w:rsidRPr="00B85ED8">
        <w:t>azoli</w:t>
      </w:r>
      <w:proofErr w:type="spellEnd"/>
      <w:r w:rsidRPr="00B85ED8">
        <w:t>; întrucât raportul științific solicitat nu este încă publicat și se preconizează că va fi finalizat abia în decembrie 2024</w:t>
      </w:r>
      <w:r w:rsidRPr="00B85ED8">
        <w:rPr>
          <w:rStyle w:val="FootnoteReference"/>
        </w:rPr>
        <w:footnoteReference w:id="14"/>
      </w:r>
      <w:r w:rsidRPr="00B85ED8">
        <w:t>;</w:t>
      </w:r>
    </w:p>
    <w:p w:rsidR="0068564E" w:rsidRPr="00B85ED8" w:rsidRDefault="0068564E" w:rsidP="0068564E">
      <w:pPr>
        <w:pStyle w:val="NormalHanging12a"/>
      </w:pPr>
      <w:r w:rsidRPr="00B85ED8">
        <w:rPr>
          <w:color w:val="000000" w:themeColor="text1"/>
        </w:rPr>
        <w:t>I.</w:t>
      </w:r>
      <w:r w:rsidRPr="00B85ED8">
        <w:rPr>
          <w:color w:val="000000" w:themeColor="text1"/>
        </w:rPr>
        <w:tab/>
      </w:r>
      <w:r w:rsidRPr="00B85ED8">
        <w:t xml:space="preserve">întrucât este, prin urmare, oportun să se elimine limitele maxime de reziduuri (LMR) stabilite pentru </w:t>
      </w:r>
      <w:proofErr w:type="spellStart"/>
      <w:r w:rsidRPr="00B85ED8">
        <w:t>ciproconazol</w:t>
      </w:r>
      <w:proofErr w:type="spellEnd"/>
      <w:r w:rsidRPr="00B85ED8">
        <w:t xml:space="preserve"> în anexa II la Regulamentul (CE) nr. 396/2005, în conformitate cu articolul 17 din regulamentul respectiv, conform căruia Comisia trebuie să elimine LMR-urile stabilite în anexele II și III la regulamentul respectiv la valoarea implicită de 0,01 mg/kg sau la limita de determinare relevantă fără a solicita avizul EFSA pentru o substanță activă în cazul în care autorizația acesteia a fost revocată;</w:t>
      </w:r>
    </w:p>
    <w:p w:rsidR="0068564E" w:rsidRPr="00B85ED8" w:rsidRDefault="0068564E" w:rsidP="0068564E">
      <w:pPr>
        <w:pStyle w:val="NormalHanging12a"/>
      </w:pPr>
      <w:r w:rsidRPr="00B85ED8">
        <w:t>J.</w:t>
      </w:r>
      <w:r w:rsidRPr="00B85ED8">
        <w:tab/>
        <w:t xml:space="preserve">întrucât, în proiectul său de regulament, Comisia propune însă menținerea LMR-urilor pentru o cantitate mare de produse (cereale, semințe, carne, ficat și rinichi) peste limita de determinare relevantă sau valoarea implicită a LMR de 0,01 mg/kg pe baza LMR-urilor stabilite de Comisia Codex </w:t>
      </w:r>
      <w:proofErr w:type="spellStart"/>
      <w:r w:rsidRPr="00B85ED8">
        <w:t>Alimentarius</w:t>
      </w:r>
      <w:proofErr w:type="spellEnd"/>
      <w:r w:rsidRPr="00B85ED8">
        <w:t xml:space="preserve"> (CXL-uri);</w:t>
      </w:r>
    </w:p>
    <w:p w:rsidR="0068564E" w:rsidRPr="00B85ED8" w:rsidRDefault="0068564E" w:rsidP="0068564E">
      <w:pPr>
        <w:pStyle w:val="NormalHanging12a"/>
      </w:pPr>
      <w:r w:rsidRPr="00B85ED8">
        <w:t>K.</w:t>
      </w:r>
      <w:r w:rsidRPr="00B85ED8">
        <w:tab/>
      </w:r>
      <w:r w:rsidRPr="00B85ED8">
        <w:rPr>
          <w:color w:val="000000" w:themeColor="text1"/>
        </w:rPr>
        <w:t xml:space="preserve">întrucât Comisia propune să stabilească LMR-urile la nivelurile lor de CXL-uri pentru mazăre (fără păstăi), fasole, mazăre, orz, hrișcă și alte </w:t>
      </w:r>
      <w:proofErr w:type="spellStart"/>
      <w:r w:rsidRPr="00B85ED8">
        <w:rPr>
          <w:color w:val="000000" w:themeColor="text1"/>
        </w:rPr>
        <w:t>pseudocereale</w:t>
      </w:r>
      <w:proofErr w:type="spellEnd"/>
      <w:r w:rsidRPr="00B85ED8">
        <w:rPr>
          <w:color w:val="000000" w:themeColor="text1"/>
        </w:rPr>
        <w:t xml:space="preserve">, porumb, mei comun, ovăz, secară, grâu, boabe de cafea și rădăcini de sfeclă de zahăr, mușchi și grăsime de porcine, bovine, ovine, caprine și </w:t>
      </w:r>
      <w:proofErr w:type="spellStart"/>
      <w:r w:rsidRPr="00B85ED8">
        <w:rPr>
          <w:color w:val="000000" w:themeColor="text1"/>
        </w:rPr>
        <w:t>ecvine</w:t>
      </w:r>
      <w:proofErr w:type="spellEnd"/>
      <w:r w:rsidRPr="00B85ED8">
        <w:rPr>
          <w:color w:val="000000" w:themeColor="text1"/>
        </w:rPr>
        <w:t xml:space="preserve">, mușchi, grăsime și ficat de păsări de curte, lapte de bovine, ovine, caprine și </w:t>
      </w:r>
      <w:proofErr w:type="spellStart"/>
      <w:r w:rsidRPr="00B85ED8">
        <w:rPr>
          <w:color w:val="000000" w:themeColor="text1"/>
        </w:rPr>
        <w:t>ecvine</w:t>
      </w:r>
      <w:proofErr w:type="spellEnd"/>
      <w:r w:rsidRPr="00B85ED8">
        <w:rPr>
          <w:color w:val="000000" w:themeColor="text1"/>
        </w:rPr>
        <w:t xml:space="preserve"> și ouă de păsări; întrucât aceasta înseamnă că LMR-urile pentru ficat și rinichi de porcine, bovine, ovine, caprine și </w:t>
      </w:r>
      <w:proofErr w:type="spellStart"/>
      <w:r w:rsidRPr="00B85ED8">
        <w:rPr>
          <w:color w:val="000000" w:themeColor="text1"/>
        </w:rPr>
        <w:t>ecvine</w:t>
      </w:r>
      <w:proofErr w:type="spellEnd"/>
      <w:r w:rsidRPr="00B85ED8">
        <w:rPr>
          <w:color w:val="000000" w:themeColor="text1"/>
        </w:rPr>
        <w:t xml:space="preserve"> ar fi menținute la nivelurile existente de 0,5 mg/kg, pentru semințele de rapiță la 0,4 mg/kg și pentru boabele de soia la 0,07 mg/kg; întrucât, pentru toate celelalte produse, pentru care nu există CXL-uri sau toleranțe la import, LMR-urile sunt reduse la limitele de determinare specifice produsului care variază între 0,01 și 0,05 mg/kg;</w:t>
      </w:r>
    </w:p>
    <w:p w:rsidR="0068564E" w:rsidRPr="00B85ED8" w:rsidRDefault="0068564E" w:rsidP="0068564E">
      <w:pPr>
        <w:pStyle w:val="NormalHanging12a"/>
      </w:pPr>
      <w:r w:rsidRPr="00B85ED8">
        <w:t>L.</w:t>
      </w:r>
      <w:r w:rsidRPr="00B85ED8">
        <w:tab/>
        <w:t xml:space="preserve">întrucât, în 2024, Comisia a redus LMR-urile la </w:t>
      </w:r>
      <w:proofErr w:type="spellStart"/>
      <w:r w:rsidRPr="00B85ED8">
        <w:t>tiacloprid</w:t>
      </w:r>
      <w:proofErr w:type="spellEnd"/>
      <w:r w:rsidRPr="00B85ED8">
        <w:t>, o substanță activă clasificată ca fiind toxică pentru reproducere din categoria 1B, până la limita de determinare relevantă, argumentând că „până când Autoritatea va termina această evaluare suplimentară a riscurilor [privind efectele asupra sistemului endocrin] și ținând cont de informațiile pertinente disponibile despre efectele potențial dăunătoare asupra sănătății umane, este oportun să se reducă provizoriu LMR-urile...[pentru aceste produse]”</w:t>
      </w:r>
      <w:r w:rsidRPr="00B85ED8">
        <w:rPr>
          <w:rStyle w:val="FootnoteReference"/>
        </w:rPr>
        <w:footnoteReference w:id="15"/>
      </w:r>
      <w:r w:rsidRPr="00B85ED8">
        <w:t>;</w:t>
      </w:r>
    </w:p>
    <w:p w:rsidR="0068564E" w:rsidRPr="00B85ED8" w:rsidRDefault="0068564E" w:rsidP="0068564E">
      <w:pPr>
        <w:pStyle w:val="NormalHanging12a"/>
      </w:pPr>
      <w:r w:rsidRPr="00B85ED8">
        <w:t>M.</w:t>
      </w:r>
      <w:r w:rsidRPr="00B85ED8">
        <w:tab/>
        <w:t xml:space="preserve">întrucât considerentul 5 din Regulamentul (CE) nr. 396/2005 prevede că reziduurile nu ar trebui să fie prezente la niveluri care reprezintă un risc inacceptabil pentru oameni și, eventual, pentru animale; </w:t>
      </w:r>
    </w:p>
    <w:p w:rsidR="0068564E" w:rsidRPr="00B85ED8" w:rsidRDefault="0068564E" w:rsidP="0068564E">
      <w:pPr>
        <w:pStyle w:val="NormalHanging12a"/>
      </w:pPr>
      <w:r w:rsidRPr="00B85ED8">
        <w:t>N.</w:t>
      </w:r>
      <w:r w:rsidRPr="00B85ED8">
        <w:tab/>
        <w:t>întrucât articolul 4 alineatul (2) primul paragraf litera (a) din Regulamentul (CE) nr. 1107/2009 prevede că reziduurile produselor fitosanitare nu trebuie să producă niciun efect nociv asupra sănătății umane, inclusiv aceea a grupurilor vulnerabile, ori asupra sănătății animale, luând în considerare efectele cumulative și sinergice cunoscute; întrucât punctul 3.6.4 din anexa II la regulamentul respectiv prevede că o substanță activă clasificată, în conformitate cu Regulamentul (CE) nr. 1272/2008, ca substanță toxică pentru reproducere din categoria 1A sau 1B, nu se aprobă decât dacă „reziduurile substanței active, [...] din alimente și furaje nu depășesc valorile de ajustare prevăzute la articolul 18 alineatul (1) litera (b) din Regulamentul (CE) nr. 396/2005”; întrucât articolul 18 alineatul (1) litera (b) din Regulamentul (CE) nr. 396/2005 stabilește o valoare de ajustare de 0,01 mg/kg;</w:t>
      </w:r>
    </w:p>
    <w:p w:rsidR="0068564E" w:rsidRPr="00B85ED8" w:rsidRDefault="0068564E" w:rsidP="0068564E">
      <w:pPr>
        <w:pStyle w:val="NormalHanging12a"/>
      </w:pPr>
      <w:r w:rsidRPr="00B85ED8">
        <w:t>O.</w:t>
      </w:r>
      <w:r w:rsidRPr="00B85ED8">
        <w:tab/>
        <w:t xml:space="preserve">întrucât articolul 3 alineatul (2) litera (g) din Regulamentul (CE) nr. 396/2005 prevede că toleranța la importuri este o LMR stabilită pentru produsele importate în cazul în care „utilizarea substanței active într-un produs fitosanitar, în ceea ce privește un anumit produs, nu este autorizată în Comunitate, din alte motive decât sănătatea publică pentru un produs și un uz determinat”; întrucât </w:t>
      </w:r>
      <w:proofErr w:type="spellStart"/>
      <w:r w:rsidRPr="00B85ED8">
        <w:t>ciproconazolul</w:t>
      </w:r>
      <w:proofErr w:type="spellEnd"/>
      <w:r w:rsidRPr="00B85ED8">
        <w:t xml:space="preserve"> nu îndeplinește aceste criterii deoarece a fost interzis din motive de sănătate, având în vedere că este clasificat ca toxic pentru reproducere din categoria 1B;</w:t>
      </w:r>
    </w:p>
    <w:p w:rsidR="0068564E" w:rsidRPr="00B85ED8" w:rsidRDefault="0068564E" w:rsidP="0068564E">
      <w:pPr>
        <w:pStyle w:val="NormalHanging12a"/>
      </w:pPr>
      <w:r w:rsidRPr="00B85ED8">
        <w:t>P.</w:t>
      </w:r>
      <w:r w:rsidRPr="00B85ED8">
        <w:tab/>
        <w:t>întrucât, la articolul 5 alineatul (1) din Regulamentul (CE) nr. 178/2002, se prevede că legislația alimentară trebuie să urmărească unul sau mai multe dintre obiectivele generale ale unui nivel ridicat de protecție a vieții și sănătății umane și de protecție a intereselor consumatorilor, inclusiv practici echitabile în comerțul cu produse alimentare, ținând seama, după caz, de protecția sănătății și bunăstării animalelor, a sănătății plantelor și a mediului;</w:t>
      </w:r>
    </w:p>
    <w:p w:rsidR="0068564E" w:rsidRPr="00B85ED8" w:rsidRDefault="0068564E" w:rsidP="0068564E">
      <w:pPr>
        <w:pStyle w:val="NormalHanging12a"/>
      </w:pPr>
      <w:r w:rsidRPr="00B85ED8">
        <w:t>Q.</w:t>
      </w:r>
      <w:r w:rsidRPr="00B85ED8">
        <w:tab/>
        <w:t>întrucât, în comunicarea sa din 20 mai 2020 intitulată „O strategie «De la fermă la consumator» pentru un sistem alimentar echitabil, sănătos și ecologic”</w:t>
      </w:r>
      <w:r w:rsidRPr="00B85ED8">
        <w:rPr>
          <w:rStyle w:val="FootnoteReference"/>
        </w:rPr>
        <w:footnoteReference w:id="16"/>
      </w:r>
      <w:r w:rsidRPr="00B85ED8">
        <w:t>, Comisia a anunțat că „UE va sprijini tranziția globală către sisteme agroalimentare durabile, în conformitate cu obiectivele acestei strategii și cu obiectivele de dezvoltare durabilă” și că „UE poate juca un rol esențial în stabilirea de standarde globale cu ajutorul acestei strategii”; întrucât Comisia a afirmat explicit în strategie că „[u]n sistem alimentar mai durabil al UE necesită, de asemenea, practici din ce în ce mai durabile din partea partenerilor noștri comerciali. Pentru a promova trecerea treptată la utilizarea de produse de protecție a plantelor mai sigure, UE va lua în considerare, în conformitate cu normele OMC și în urma unei evaluări a riscurilor, revizuirea toleranțelor la import pentru substanțele care îndeplinesc „criteriile de limitare” și care prezintă un nivel ridicat de risc pentru sănătatea umană”;</w:t>
      </w:r>
    </w:p>
    <w:p w:rsidR="0068564E" w:rsidRPr="00B85ED8" w:rsidRDefault="0068564E" w:rsidP="0068564E">
      <w:pPr>
        <w:pStyle w:val="NormalHanging12a"/>
      </w:pPr>
      <w:r w:rsidRPr="00B85ED8">
        <w:t>R.</w:t>
      </w:r>
      <w:r w:rsidRPr="00B85ED8">
        <w:tab/>
        <w:t xml:space="preserve">întrucât practica de a fixa LMR-uri ridicate promovează standarde duble pentru fermierii din Uniune față de fermierii din țările terțe, pentru că fermierii din afara Uniunii pot continua să producă alimentele în cauză folosind </w:t>
      </w:r>
      <w:proofErr w:type="spellStart"/>
      <w:r w:rsidRPr="00B85ED8">
        <w:t>ciproconazol</w:t>
      </w:r>
      <w:proofErr w:type="spellEnd"/>
      <w:r w:rsidRPr="00B85ED8">
        <w:t xml:space="preserve"> și să le exporte în Uniune, creând astfel un dezavantaj competitiv pentru fermierii din Uniune; întrucât, pe de altă parte, utilizarea acestui pesticid pune în pericol sănătatea lucrătorilor agricoli, sănătatea populației în general și mediul în țările producătoare;</w:t>
      </w:r>
    </w:p>
    <w:p w:rsidR="0068564E" w:rsidRPr="00B85ED8" w:rsidRDefault="0068564E" w:rsidP="0068564E">
      <w:pPr>
        <w:pStyle w:val="NormalHanging12a"/>
      </w:pPr>
      <w:r w:rsidRPr="00B85ED8">
        <w:t>S.</w:t>
      </w:r>
      <w:r w:rsidRPr="00B85ED8">
        <w:tab/>
        <w:t>întrucât articolul 191 alineatul (2) din TFUE stabilește principiul precauției ca fiind unul dintre principiile fundamentale ale Uniunii;</w:t>
      </w:r>
    </w:p>
    <w:p w:rsidR="0068564E" w:rsidRPr="00B85ED8" w:rsidRDefault="0068564E" w:rsidP="0068564E">
      <w:pPr>
        <w:pStyle w:val="NormalHanging12a"/>
      </w:pPr>
      <w:r w:rsidRPr="00B85ED8">
        <w:t>T.</w:t>
      </w:r>
      <w:r w:rsidRPr="00B85ED8">
        <w:tab/>
        <w:t>întrucât Comisia trebuie să protejeze mediul și pe cetățenii europeni pe baza informațiilor științifice disponibile, făcând uz de obligațiile și posibilitățile legale prevăzute de regulamentele (CE) nr. 396/2005 și (CE) nr. 178/2002 pentru a asigura o bună protecție a sănătății umane și animale și a mediului;</w:t>
      </w:r>
    </w:p>
    <w:p w:rsidR="0068564E" w:rsidRPr="00B85ED8" w:rsidRDefault="0068564E" w:rsidP="0068564E">
      <w:pPr>
        <w:pStyle w:val="NormalHanging12a"/>
      </w:pPr>
      <w:r w:rsidRPr="00B85ED8">
        <w:t>U.</w:t>
      </w:r>
      <w:r w:rsidRPr="00B85ED8">
        <w:tab/>
        <w:t>întrucât LMR-urile propuse nu protejează sănătatea cetățenilor din Europa și, prin urmare, contravin regulamentelor (CE) nr. 396/2005 și (CE) nr. 178/2002;</w:t>
      </w:r>
    </w:p>
    <w:p w:rsidR="0068564E" w:rsidRPr="00B85ED8" w:rsidRDefault="0068564E" w:rsidP="0068564E">
      <w:pPr>
        <w:pStyle w:val="NormalHanging12a"/>
      </w:pPr>
      <w:r w:rsidRPr="00B85ED8">
        <w:t>V.</w:t>
      </w:r>
      <w:r w:rsidRPr="00B85ED8">
        <w:tab/>
        <w:t xml:space="preserve">întrucât nu ar trebui stabilite LMR-uri pentru substanțele active care nu sunt aprobate în Uniune din cauza unor riscuri pentru sănătate; întrucât, prin urmare, niciun CXL care depășește limita de determinare relevantă sau valoarea implicită de 0,01 mg/kg nu ar trebui considerat sigur pentru consumatori, deoarece </w:t>
      </w:r>
      <w:proofErr w:type="spellStart"/>
      <w:r w:rsidRPr="00B85ED8">
        <w:t>ciproconazolul</w:t>
      </w:r>
      <w:proofErr w:type="spellEnd"/>
      <w:r w:rsidRPr="00B85ED8">
        <w:t xml:space="preserve"> este clasificat drept toxic pentru reproducere din categoria 1B;</w:t>
      </w:r>
    </w:p>
    <w:p w:rsidR="0068564E" w:rsidRPr="00B85ED8" w:rsidRDefault="0068564E" w:rsidP="0068564E">
      <w:pPr>
        <w:pStyle w:val="NormalHanging12a"/>
      </w:pPr>
      <w:r w:rsidRPr="00B85ED8">
        <w:t>W.</w:t>
      </w:r>
      <w:r w:rsidRPr="00B85ED8">
        <w:tab/>
        <w:t xml:space="preserve"> întrucât, la stabilirea limitelor maxime de reziduuri, trebuie evaluate efectele cumulative și sinergice, fiind extrem de important să se accelereze urgent elaborarea unor metode adecvate pentru această evaluare,</w:t>
      </w:r>
    </w:p>
    <w:p w:rsidR="0068564E" w:rsidRPr="00B85ED8" w:rsidRDefault="0068564E" w:rsidP="0068564E">
      <w:pPr>
        <w:pStyle w:val="NormalHanging12a"/>
      </w:pPr>
      <w:r w:rsidRPr="00B85ED8">
        <w:t>1.</w:t>
      </w:r>
      <w:r w:rsidRPr="00B85ED8">
        <w:tab/>
        <w:t>se opune adoptării proiectului de regulament al Comisiei;</w:t>
      </w:r>
    </w:p>
    <w:p w:rsidR="0068564E" w:rsidRPr="00B85ED8" w:rsidRDefault="0068564E" w:rsidP="0068564E">
      <w:pPr>
        <w:pStyle w:val="NormalHanging12a"/>
        <w:rPr>
          <w:szCs w:val="24"/>
        </w:rPr>
      </w:pPr>
      <w:r w:rsidRPr="00B85ED8">
        <w:t>2.</w:t>
      </w:r>
      <w:r w:rsidRPr="00B85ED8">
        <w:tab/>
        <w:t>consideră că propunerea de regulament al Comisiei este incompatibilă cu scopul și conținutul regulamentelor (CE) nr. 396/2005 și (CE) nr. 178/2002, precum și (CE) nr. 1107/2009, inclusiv punctul 3.6.4 din anexa II la acesta;</w:t>
      </w:r>
    </w:p>
    <w:p w:rsidR="0068564E" w:rsidRPr="00B85ED8" w:rsidRDefault="0068564E" w:rsidP="0068564E">
      <w:pPr>
        <w:pStyle w:val="NormalHanging12a"/>
      </w:pPr>
      <w:r w:rsidRPr="00B85ED8">
        <w:t>3.</w:t>
      </w:r>
      <w:r w:rsidRPr="00B85ED8">
        <w:tab/>
        <w:t>solicită Comisiei să aplice principiul precauției, să își retragă proiectul de regulament și să prezinte Comisiei pentru mediu, sănătate publică și siguranță alimentară un alt proiect;</w:t>
      </w:r>
    </w:p>
    <w:p w:rsidR="0068564E" w:rsidRPr="00B85ED8" w:rsidRDefault="0068564E" w:rsidP="0068564E">
      <w:pPr>
        <w:pStyle w:val="NormalHanging12a"/>
      </w:pPr>
      <w:r w:rsidRPr="00B85ED8">
        <w:t>4.</w:t>
      </w:r>
      <w:r w:rsidRPr="00B85ED8">
        <w:tab/>
        <w:t xml:space="preserve">invită Comisia să prezinte Comisiei pentru mediu, sănătate publică și siguranță alimentară un nou proiect de regulament care să reducă toate LMR-urile pentru </w:t>
      </w:r>
      <w:proofErr w:type="spellStart"/>
      <w:r w:rsidRPr="00B85ED8">
        <w:t>ciproconazol</w:t>
      </w:r>
      <w:proofErr w:type="spellEnd"/>
      <w:r w:rsidRPr="00B85ED8">
        <w:t xml:space="preserve"> la limita de determinare sau la valoarea implicită de 0,01 mg/kg pentru toate utilizările și să refuze orice cerere de toleranță la import; </w:t>
      </w:r>
    </w:p>
    <w:p w:rsidR="0068564E" w:rsidRPr="00B85ED8" w:rsidRDefault="0068564E" w:rsidP="0068564E">
      <w:pPr>
        <w:pStyle w:val="NormalHanging12a"/>
      </w:pPr>
      <w:r w:rsidRPr="00B85ED8">
        <w:t>5.</w:t>
      </w:r>
      <w:r w:rsidRPr="00B85ED8">
        <w:tab/>
        <w:t>recunoaște că EFSA lucrează la metode de evaluare a riscurilor cumulate, dar remarcă, de asemenea, că problema evaluării efectelor cumulative ale pesticidelor și reziduurilor este cunoscută de mai multe decenii; solicită, prin urmare, EFSA și Comisiei să se ocupe de această problema în regim de urgență absolută;</w:t>
      </w:r>
    </w:p>
    <w:p w:rsidR="0068564E" w:rsidRPr="00B85ED8" w:rsidRDefault="0068564E" w:rsidP="0068564E">
      <w:pPr>
        <w:pStyle w:val="NormalHanging12a"/>
      </w:pPr>
      <w:r w:rsidRPr="00B85ED8">
        <w:t>6.</w:t>
      </w:r>
      <w:r w:rsidRPr="00B85ED8">
        <w:tab/>
        <w:t xml:space="preserve">încredințează Președintei sarcina de a transmite prezenta rezoluție Consiliului și Comisiei, precum și guvernelor și parlamentelor statelor membre. </w:t>
      </w:r>
    </w:p>
    <w:p w:rsidR="00E365E1" w:rsidRPr="00B85ED8" w:rsidRDefault="00E365E1" w:rsidP="004650C3">
      <w:bookmarkStart w:id="8" w:name="TextBodyEnd"/>
      <w:bookmarkEnd w:id="8"/>
    </w:p>
    <w:sectPr w:rsidR="00E365E1" w:rsidRPr="00B85ED8" w:rsidSect="00B85ED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0C3" w:rsidRPr="00B85ED8" w:rsidRDefault="004650C3">
      <w:r w:rsidRPr="00B85ED8">
        <w:separator/>
      </w:r>
    </w:p>
  </w:endnote>
  <w:endnote w:type="continuationSeparator" w:id="0">
    <w:p w:rsidR="004650C3" w:rsidRPr="00B85ED8" w:rsidRDefault="004650C3">
      <w:r w:rsidRPr="00B85E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0C3" w:rsidRPr="00B85ED8" w:rsidRDefault="004650C3">
      <w:r w:rsidRPr="00B85ED8">
        <w:separator/>
      </w:r>
    </w:p>
  </w:footnote>
  <w:footnote w:type="continuationSeparator" w:id="0">
    <w:p w:rsidR="004650C3" w:rsidRPr="00B85ED8" w:rsidRDefault="004650C3">
      <w:r w:rsidRPr="00B85ED8">
        <w:continuationSeparator/>
      </w:r>
    </w:p>
  </w:footnote>
  <w:footnote w:id="1">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JO L 70, 16.3.2005, p. 1.</w:t>
      </w:r>
    </w:p>
  </w:footnote>
  <w:footnote w:id="2">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JO L 309, 24.11.2009, p. 1.</w:t>
      </w:r>
    </w:p>
  </w:footnote>
  <w:footnote w:id="3">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JO L 31, 1.2.2002, p. 1.</w:t>
      </w:r>
    </w:p>
  </w:footnote>
  <w:footnote w:id="4">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 xml:space="preserve">EFSA </w:t>
      </w:r>
      <w:proofErr w:type="spellStart"/>
      <w:r w:rsidRPr="00C15ADB">
        <w:rPr>
          <w:sz w:val="24"/>
          <w:lang w:val="ro-RO"/>
        </w:rPr>
        <w:t>reasoned</w:t>
      </w:r>
      <w:proofErr w:type="spellEnd"/>
      <w:r w:rsidRPr="00C15ADB">
        <w:rPr>
          <w:sz w:val="24"/>
          <w:lang w:val="ro-RO"/>
        </w:rPr>
        <w:t xml:space="preserve"> </w:t>
      </w:r>
      <w:proofErr w:type="spellStart"/>
      <w:r w:rsidRPr="00C15ADB">
        <w:rPr>
          <w:sz w:val="24"/>
          <w:lang w:val="ro-RO"/>
        </w:rPr>
        <w:t>opinion</w:t>
      </w:r>
      <w:proofErr w:type="spellEnd"/>
      <w:r w:rsidRPr="00C15ADB">
        <w:rPr>
          <w:sz w:val="24"/>
          <w:lang w:val="ro-RO"/>
        </w:rPr>
        <w:t xml:space="preserve"> on </w:t>
      </w:r>
      <w:proofErr w:type="spellStart"/>
      <w:r w:rsidRPr="00C15ADB">
        <w:rPr>
          <w:sz w:val="24"/>
          <w:lang w:val="ro-RO"/>
        </w:rPr>
        <w:t>the</w:t>
      </w:r>
      <w:proofErr w:type="spellEnd"/>
      <w:r w:rsidRPr="00C15ADB">
        <w:rPr>
          <w:sz w:val="24"/>
          <w:lang w:val="ro-RO"/>
        </w:rPr>
        <w:t xml:space="preserve"> </w:t>
      </w:r>
      <w:proofErr w:type="spellStart"/>
      <w:r w:rsidRPr="00C15ADB">
        <w:rPr>
          <w:sz w:val="24"/>
          <w:lang w:val="ro-RO"/>
        </w:rPr>
        <w:t>review</w:t>
      </w:r>
      <w:proofErr w:type="spellEnd"/>
      <w:r w:rsidRPr="00C15ADB">
        <w:rPr>
          <w:sz w:val="24"/>
          <w:lang w:val="ro-RO"/>
        </w:rPr>
        <w:t xml:space="preserve"> of </w:t>
      </w:r>
      <w:proofErr w:type="spellStart"/>
      <w:r w:rsidRPr="00C15ADB">
        <w:rPr>
          <w:sz w:val="24"/>
          <w:lang w:val="ro-RO"/>
        </w:rPr>
        <w:t>existing</w:t>
      </w:r>
      <w:proofErr w:type="spellEnd"/>
      <w:r w:rsidRPr="00C15ADB">
        <w:rPr>
          <w:sz w:val="24"/>
          <w:lang w:val="ro-RO"/>
        </w:rPr>
        <w:t xml:space="preserve"> maximum </w:t>
      </w:r>
      <w:proofErr w:type="spellStart"/>
      <w:r w:rsidRPr="00C15ADB">
        <w:rPr>
          <w:sz w:val="24"/>
          <w:lang w:val="ro-RO"/>
        </w:rPr>
        <w:t>residue</w:t>
      </w:r>
      <w:proofErr w:type="spellEnd"/>
      <w:r w:rsidRPr="00C15ADB">
        <w:rPr>
          <w:sz w:val="24"/>
          <w:lang w:val="ro-RO"/>
        </w:rPr>
        <w:t xml:space="preserve"> </w:t>
      </w:r>
      <w:proofErr w:type="spellStart"/>
      <w:r w:rsidRPr="00C15ADB">
        <w:rPr>
          <w:sz w:val="24"/>
          <w:lang w:val="ro-RO"/>
        </w:rPr>
        <w:t>levels</w:t>
      </w:r>
      <w:proofErr w:type="spellEnd"/>
      <w:r w:rsidRPr="00C15ADB">
        <w:rPr>
          <w:sz w:val="24"/>
          <w:lang w:val="ro-RO"/>
        </w:rPr>
        <w:t xml:space="preserve"> for </w:t>
      </w:r>
      <w:proofErr w:type="spellStart"/>
      <w:r w:rsidRPr="00C15ADB">
        <w:rPr>
          <w:sz w:val="24"/>
          <w:lang w:val="ro-RO"/>
        </w:rPr>
        <w:t>cyproconazole</w:t>
      </w:r>
      <w:proofErr w:type="spellEnd"/>
      <w:r w:rsidRPr="00C15ADB">
        <w:rPr>
          <w:sz w:val="24"/>
          <w:lang w:val="ro-RO"/>
        </w:rPr>
        <w:t xml:space="preserve"> </w:t>
      </w:r>
      <w:proofErr w:type="spellStart"/>
      <w:r w:rsidRPr="00C15ADB">
        <w:rPr>
          <w:sz w:val="24"/>
          <w:lang w:val="ro-RO"/>
        </w:rPr>
        <w:t>according</w:t>
      </w:r>
      <w:proofErr w:type="spellEnd"/>
      <w:r w:rsidRPr="00C15ADB">
        <w:rPr>
          <w:sz w:val="24"/>
          <w:lang w:val="ro-RO"/>
        </w:rPr>
        <w:t xml:space="preserve"> </w:t>
      </w:r>
      <w:proofErr w:type="spellStart"/>
      <w:r w:rsidRPr="00C15ADB">
        <w:rPr>
          <w:sz w:val="24"/>
          <w:lang w:val="ro-RO"/>
        </w:rPr>
        <w:t>to</w:t>
      </w:r>
      <w:proofErr w:type="spellEnd"/>
      <w:r w:rsidRPr="00C15ADB">
        <w:rPr>
          <w:sz w:val="24"/>
          <w:lang w:val="ro-RO"/>
        </w:rPr>
        <w:t xml:space="preserve"> </w:t>
      </w:r>
      <w:proofErr w:type="spellStart"/>
      <w:r w:rsidRPr="00C15ADB">
        <w:rPr>
          <w:sz w:val="24"/>
          <w:lang w:val="ro-RO"/>
        </w:rPr>
        <w:t>Article</w:t>
      </w:r>
      <w:proofErr w:type="spellEnd"/>
      <w:r w:rsidRPr="00C15ADB">
        <w:rPr>
          <w:sz w:val="24"/>
          <w:lang w:val="ro-RO"/>
        </w:rPr>
        <w:t xml:space="preserve"> 12 of </w:t>
      </w:r>
      <w:proofErr w:type="spellStart"/>
      <w:r w:rsidRPr="00C15ADB">
        <w:rPr>
          <w:sz w:val="24"/>
          <w:lang w:val="ro-RO"/>
        </w:rPr>
        <w:t>Regulation</w:t>
      </w:r>
      <w:proofErr w:type="spellEnd"/>
      <w:r w:rsidRPr="00C15ADB">
        <w:rPr>
          <w:sz w:val="24"/>
          <w:lang w:val="ro-RO"/>
        </w:rPr>
        <w:t xml:space="preserve"> (EC) No 396/2005 [Avizul motivat al EFSA privind revizuirea limitelor maxime existente pentru </w:t>
      </w:r>
      <w:proofErr w:type="spellStart"/>
      <w:r w:rsidRPr="00C15ADB">
        <w:rPr>
          <w:sz w:val="24"/>
          <w:lang w:val="ro-RO"/>
        </w:rPr>
        <w:t>ciproconazol</w:t>
      </w:r>
      <w:proofErr w:type="spellEnd"/>
      <w:r w:rsidRPr="00C15ADB">
        <w:rPr>
          <w:sz w:val="24"/>
          <w:lang w:val="ro-RO"/>
        </w:rPr>
        <w:t xml:space="preserve"> în conformitate cu articolul 12 din Regulamentul (CE) nr. 396/2005], EFSA Journal 2021;19(3):4652, </w:t>
      </w:r>
      <w:hyperlink r:id="rId1" w:history="1">
        <w:r w:rsidRPr="00C15ADB">
          <w:rPr>
            <w:rStyle w:val="Hyperlink"/>
            <w:sz w:val="24"/>
            <w:lang w:val="ro-RO"/>
          </w:rPr>
          <w:t xml:space="preserve"> https://doi.org/10.2903/j.efsa.2016.4652</w:t>
        </w:r>
      </w:hyperlink>
      <w:r w:rsidRPr="00C15ADB">
        <w:rPr>
          <w:sz w:val="24"/>
          <w:lang w:val="ro-RO"/>
        </w:rPr>
        <w:t>.</w:t>
      </w:r>
    </w:p>
  </w:footnote>
  <w:footnote w:id="5">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 xml:space="preserve">EFSA </w:t>
      </w:r>
      <w:proofErr w:type="spellStart"/>
      <w:r w:rsidRPr="00C15ADB">
        <w:rPr>
          <w:sz w:val="24"/>
          <w:lang w:val="ro-RO"/>
        </w:rPr>
        <w:t>conclusion</w:t>
      </w:r>
      <w:proofErr w:type="spellEnd"/>
      <w:r w:rsidRPr="00C15ADB">
        <w:rPr>
          <w:sz w:val="24"/>
          <w:lang w:val="ro-RO"/>
        </w:rPr>
        <w:t xml:space="preserve"> on </w:t>
      </w:r>
      <w:proofErr w:type="spellStart"/>
      <w:r w:rsidRPr="00C15ADB">
        <w:rPr>
          <w:sz w:val="24"/>
          <w:lang w:val="ro-RO"/>
        </w:rPr>
        <w:t>the</w:t>
      </w:r>
      <w:proofErr w:type="spellEnd"/>
      <w:r w:rsidRPr="00C15ADB">
        <w:rPr>
          <w:sz w:val="24"/>
          <w:lang w:val="ro-RO"/>
        </w:rPr>
        <w:t xml:space="preserve"> </w:t>
      </w:r>
      <w:proofErr w:type="spellStart"/>
      <w:r w:rsidRPr="00C15ADB">
        <w:rPr>
          <w:sz w:val="24"/>
          <w:lang w:val="ro-RO"/>
        </w:rPr>
        <w:t>peer</w:t>
      </w:r>
      <w:proofErr w:type="spellEnd"/>
      <w:r w:rsidRPr="00C15ADB">
        <w:rPr>
          <w:sz w:val="24"/>
          <w:lang w:val="ro-RO"/>
        </w:rPr>
        <w:t xml:space="preserve"> </w:t>
      </w:r>
      <w:proofErr w:type="spellStart"/>
      <w:r w:rsidRPr="00C15ADB">
        <w:rPr>
          <w:sz w:val="24"/>
          <w:lang w:val="ro-RO"/>
        </w:rPr>
        <w:t>review</w:t>
      </w:r>
      <w:proofErr w:type="spellEnd"/>
      <w:r w:rsidRPr="00C15ADB">
        <w:rPr>
          <w:sz w:val="24"/>
          <w:lang w:val="ro-RO"/>
        </w:rPr>
        <w:t xml:space="preserve"> of </w:t>
      </w:r>
      <w:proofErr w:type="spellStart"/>
      <w:r w:rsidRPr="00C15ADB">
        <w:rPr>
          <w:sz w:val="24"/>
          <w:lang w:val="ro-RO"/>
        </w:rPr>
        <w:t>the</w:t>
      </w:r>
      <w:proofErr w:type="spellEnd"/>
      <w:r w:rsidRPr="00C15ADB">
        <w:rPr>
          <w:sz w:val="24"/>
          <w:lang w:val="ro-RO"/>
        </w:rPr>
        <w:t xml:space="preserve"> pesticide </w:t>
      </w:r>
      <w:proofErr w:type="spellStart"/>
      <w:r w:rsidRPr="00C15ADB">
        <w:rPr>
          <w:sz w:val="24"/>
          <w:lang w:val="ro-RO"/>
        </w:rPr>
        <w:t>risk</w:t>
      </w:r>
      <w:proofErr w:type="spellEnd"/>
      <w:r w:rsidRPr="00C15ADB">
        <w:rPr>
          <w:sz w:val="24"/>
          <w:lang w:val="ro-RO"/>
        </w:rPr>
        <w:t xml:space="preserve"> </w:t>
      </w:r>
      <w:proofErr w:type="spellStart"/>
      <w:r w:rsidRPr="00C15ADB">
        <w:rPr>
          <w:sz w:val="24"/>
          <w:lang w:val="ro-RO"/>
        </w:rPr>
        <w:t>assessment</w:t>
      </w:r>
      <w:proofErr w:type="spellEnd"/>
      <w:r w:rsidRPr="00C15ADB">
        <w:rPr>
          <w:sz w:val="24"/>
          <w:lang w:val="ro-RO"/>
        </w:rPr>
        <w:t xml:space="preserve"> of </w:t>
      </w:r>
      <w:proofErr w:type="spellStart"/>
      <w:r w:rsidRPr="00C15ADB">
        <w:rPr>
          <w:sz w:val="24"/>
          <w:lang w:val="ro-RO"/>
        </w:rPr>
        <w:t>the</w:t>
      </w:r>
      <w:proofErr w:type="spellEnd"/>
      <w:r w:rsidRPr="00C15ADB">
        <w:rPr>
          <w:sz w:val="24"/>
          <w:lang w:val="ro-RO"/>
        </w:rPr>
        <w:t xml:space="preserve"> active </w:t>
      </w:r>
      <w:proofErr w:type="spellStart"/>
      <w:r w:rsidRPr="00C15ADB">
        <w:rPr>
          <w:sz w:val="24"/>
          <w:lang w:val="ro-RO"/>
        </w:rPr>
        <w:t>substance</w:t>
      </w:r>
      <w:proofErr w:type="spellEnd"/>
      <w:r w:rsidRPr="00C15ADB">
        <w:rPr>
          <w:sz w:val="24"/>
          <w:lang w:val="ro-RO"/>
        </w:rPr>
        <w:t xml:space="preserve"> </w:t>
      </w:r>
      <w:proofErr w:type="spellStart"/>
      <w:r w:rsidRPr="00C15ADB">
        <w:rPr>
          <w:sz w:val="24"/>
          <w:lang w:val="ro-RO"/>
        </w:rPr>
        <w:t>cyproconazole</w:t>
      </w:r>
      <w:proofErr w:type="spellEnd"/>
      <w:r w:rsidRPr="00C15ADB">
        <w:rPr>
          <w:sz w:val="24"/>
          <w:lang w:val="ro-RO"/>
        </w:rPr>
        <w:t xml:space="preserve"> (Concluzia EFSA cu privire la revizuirea </w:t>
      </w:r>
      <w:r w:rsidRPr="00C15ADB">
        <w:rPr>
          <w:i/>
          <w:iCs/>
          <w:sz w:val="24"/>
          <w:lang w:val="ro-RO"/>
        </w:rPr>
        <w:t xml:space="preserve">inter </w:t>
      </w:r>
      <w:proofErr w:type="spellStart"/>
      <w:r w:rsidRPr="00C15ADB">
        <w:rPr>
          <w:i/>
          <w:iCs/>
          <w:sz w:val="24"/>
          <w:lang w:val="ro-RO"/>
        </w:rPr>
        <w:t>pares</w:t>
      </w:r>
      <w:proofErr w:type="spellEnd"/>
      <w:r w:rsidRPr="00C15ADB">
        <w:rPr>
          <w:sz w:val="24"/>
          <w:lang w:val="ro-RO"/>
        </w:rPr>
        <w:t xml:space="preserve"> a riscului utilizării ca pesticid a substanței active </w:t>
      </w:r>
      <w:proofErr w:type="spellStart"/>
      <w:r w:rsidRPr="00C15ADB">
        <w:rPr>
          <w:sz w:val="24"/>
          <w:lang w:val="ro-RO"/>
        </w:rPr>
        <w:t>ciproconazol</w:t>
      </w:r>
      <w:proofErr w:type="spellEnd"/>
      <w:r w:rsidRPr="00C15ADB">
        <w:rPr>
          <w:sz w:val="24"/>
          <w:lang w:val="ro-RO"/>
        </w:rPr>
        <w:t xml:space="preserve">), EFSA Journal 2010;8(11):1897, </w:t>
      </w:r>
      <w:hyperlink r:id="rId2" w:history="1">
        <w:r w:rsidRPr="00C15ADB">
          <w:rPr>
            <w:rStyle w:val="Hyperlink"/>
            <w:sz w:val="24"/>
            <w:lang w:val="ro-RO"/>
          </w:rPr>
          <w:t>https://doi.org/10.2903/j.efsa.2010.1897</w:t>
        </w:r>
      </w:hyperlink>
      <w:r w:rsidRPr="00C15ADB">
        <w:rPr>
          <w:sz w:val="24"/>
          <w:lang w:val="ro-RO"/>
        </w:rPr>
        <w:t>.</w:t>
      </w:r>
    </w:p>
  </w:footnote>
  <w:footnote w:id="6">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 xml:space="preserve">Avizul CER privind propunerea clasificării și etichetării armonizate la nivelul UE a substanței </w:t>
      </w:r>
      <w:proofErr w:type="spellStart"/>
      <w:r w:rsidRPr="00C15ADB">
        <w:rPr>
          <w:sz w:val="24"/>
          <w:lang w:val="ro-RO"/>
        </w:rPr>
        <w:t>ciproconazol</w:t>
      </w:r>
      <w:proofErr w:type="spellEnd"/>
      <w:r w:rsidRPr="00C15ADB">
        <w:rPr>
          <w:sz w:val="24"/>
          <w:lang w:val="ro-RO"/>
        </w:rPr>
        <w:t xml:space="preserve"> (ISO); (2RS,3RS;2RS,3SR)-2-(4-chlorophenyl)-3-cyclopr opyl-1-(1H-1,2,4-triazol-1-yl)butan-2-ol, </w:t>
      </w:r>
      <w:hyperlink r:id="rId3" w:history="1">
        <w:r w:rsidRPr="00C15ADB">
          <w:rPr>
            <w:rStyle w:val="Hyperlink"/>
            <w:sz w:val="24"/>
            <w:lang w:val="ro-RO"/>
          </w:rPr>
          <w:t>https://echa.europa.eu/documents/10162/6d98baeb-24aa-a683-28ec-d8adabee5461</w:t>
        </w:r>
      </w:hyperlink>
      <w:r w:rsidRPr="00C15ADB">
        <w:rPr>
          <w:sz w:val="24"/>
          <w:lang w:val="ro-RO"/>
        </w:rPr>
        <w:t>.</w:t>
      </w:r>
    </w:p>
  </w:footnote>
  <w:footnote w:id="7">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JO L 184, 17.7.1999, p. 23.</w:t>
      </w:r>
    </w:p>
  </w:footnote>
  <w:footnote w:id="8">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Regulamentul (CE) nr. 1272/2008 al Parlamentului European și al Consiliului din 16 decembrie 2008 privind clasificarea, etichetarea și ambalarea substanțelor și a amestecurilor, de modificare și de abrogare a Directivelor 67/548/CEE și 1999/45/CE și de modificare a Regulamentului (CE) nr. 1907/2006 (JO L 353, 31.12.2008, p. 1).</w:t>
      </w:r>
    </w:p>
  </w:footnote>
  <w:footnote w:id="9">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hyperlink r:id="rId4" w:history="1">
        <w:r w:rsidRPr="00C15ADB">
          <w:rPr>
            <w:rStyle w:val="Hyperlink"/>
            <w:sz w:val="24"/>
            <w:lang w:val="ro-RO"/>
          </w:rPr>
          <w:t>https://www.echa.europa.eu/ro/substance-information/-/substanceinfo/100.130.443</w:t>
        </w:r>
      </w:hyperlink>
      <w:r w:rsidRPr="00C15ADB">
        <w:rPr>
          <w:sz w:val="24"/>
          <w:lang w:val="ro-RO"/>
        </w:rPr>
        <w:t>.</w:t>
      </w:r>
      <w:bookmarkStart w:id="7" w:name="_GoBack"/>
    </w:p>
    <w:bookmarkEnd w:id="7"/>
  </w:footnote>
  <w:footnote w:id="10">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 xml:space="preserve">Concluziile EFSA privind evaluarea </w:t>
      </w:r>
      <w:r w:rsidRPr="00C15ADB">
        <w:rPr>
          <w:i/>
          <w:iCs/>
          <w:sz w:val="24"/>
          <w:lang w:val="ro-RO"/>
        </w:rPr>
        <w:t xml:space="preserve">inter </w:t>
      </w:r>
      <w:proofErr w:type="spellStart"/>
      <w:r w:rsidRPr="00C15ADB">
        <w:rPr>
          <w:i/>
          <w:iCs/>
          <w:sz w:val="24"/>
          <w:lang w:val="ro-RO"/>
        </w:rPr>
        <w:t>pares</w:t>
      </w:r>
      <w:proofErr w:type="spellEnd"/>
      <w:r w:rsidRPr="00C15ADB">
        <w:rPr>
          <w:sz w:val="24"/>
          <w:lang w:val="ro-RO"/>
        </w:rPr>
        <w:t xml:space="preserve"> referitoare la utilizarea unui pesticid, din 8 noiembrie 2010</w:t>
      </w:r>
      <w:r w:rsidRPr="00C15ADB">
        <w:rPr>
          <w:rStyle w:val="Hyperlink"/>
          <w:sz w:val="24"/>
          <w:lang w:val="ro-RO"/>
        </w:rPr>
        <w:t>;</w:t>
      </w:r>
      <w:r w:rsidRPr="00C15ADB">
        <w:rPr>
          <w:sz w:val="24"/>
          <w:lang w:val="ro-RO"/>
        </w:rPr>
        <w:t xml:space="preserve"> </w:t>
      </w:r>
      <w:proofErr w:type="spellStart"/>
      <w:r w:rsidRPr="00C15ADB">
        <w:rPr>
          <w:sz w:val="24"/>
          <w:lang w:val="ro-RO"/>
        </w:rPr>
        <w:t>Draskau</w:t>
      </w:r>
      <w:proofErr w:type="spellEnd"/>
      <w:r w:rsidRPr="00C15ADB">
        <w:rPr>
          <w:sz w:val="24"/>
          <w:lang w:val="ro-RO"/>
        </w:rPr>
        <w:t xml:space="preserve">, M. K., și </w:t>
      </w:r>
      <w:proofErr w:type="spellStart"/>
      <w:r w:rsidRPr="00C15ADB">
        <w:rPr>
          <w:sz w:val="24"/>
          <w:lang w:val="ro-RO"/>
        </w:rPr>
        <w:t>Svingen</w:t>
      </w:r>
      <w:proofErr w:type="spellEnd"/>
      <w:r w:rsidRPr="00C15ADB">
        <w:rPr>
          <w:sz w:val="24"/>
          <w:lang w:val="ro-RO"/>
        </w:rPr>
        <w:t>, T., „</w:t>
      </w:r>
      <w:proofErr w:type="spellStart"/>
      <w:r w:rsidRPr="00C15ADB">
        <w:rPr>
          <w:sz w:val="24"/>
          <w:lang w:val="ro-RO"/>
        </w:rPr>
        <w:t>Azole</w:t>
      </w:r>
      <w:proofErr w:type="spellEnd"/>
      <w:r w:rsidRPr="00C15ADB">
        <w:rPr>
          <w:sz w:val="24"/>
          <w:lang w:val="ro-RO"/>
        </w:rPr>
        <w:t xml:space="preserve"> </w:t>
      </w:r>
      <w:proofErr w:type="spellStart"/>
      <w:r w:rsidRPr="00C15ADB">
        <w:rPr>
          <w:sz w:val="24"/>
          <w:lang w:val="ro-RO"/>
        </w:rPr>
        <w:t>Fungicides</w:t>
      </w:r>
      <w:proofErr w:type="spellEnd"/>
      <w:r w:rsidRPr="00C15ADB">
        <w:rPr>
          <w:sz w:val="24"/>
          <w:lang w:val="ro-RO"/>
        </w:rPr>
        <w:t xml:space="preserve"> </w:t>
      </w:r>
      <w:proofErr w:type="spellStart"/>
      <w:r w:rsidRPr="00C15ADB">
        <w:rPr>
          <w:sz w:val="24"/>
          <w:lang w:val="ro-RO"/>
        </w:rPr>
        <w:t>and</w:t>
      </w:r>
      <w:proofErr w:type="spellEnd"/>
      <w:r w:rsidRPr="00C15ADB">
        <w:rPr>
          <w:sz w:val="24"/>
          <w:lang w:val="ro-RO"/>
        </w:rPr>
        <w:t xml:space="preserve"> </w:t>
      </w:r>
      <w:proofErr w:type="spellStart"/>
      <w:r w:rsidRPr="00C15ADB">
        <w:rPr>
          <w:sz w:val="24"/>
          <w:lang w:val="ro-RO"/>
        </w:rPr>
        <w:t>Their</w:t>
      </w:r>
      <w:proofErr w:type="spellEnd"/>
      <w:r w:rsidRPr="00C15ADB">
        <w:rPr>
          <w:sz w:val="24"/>
          <w:lang w:val="ro-RO"/>
        </w:rPr>
        <w:t xml:space="preserve"> Endocrine </w:t>
      </w:r>
      <w:proofErr w:type="spellStart"/>
      <w:r w:rsidRPr="00C15ADB">
        <w:rPr>
          <w:sz w:val="24"/>
          <w:lang w:val="ro-RO"/>
        </w:rPr>
        <w:t>Disrupting</w:t>
      </w:r>
      <w:proofErr w:type="spellEnd"/>
      <w:r w:rsidRPr="00C15ADB">
        <w:rPr>
          <w:sz w:val="24"/>
          <w:lang w:val="ro-RO"/>
        </w:rPr>
        <w:t xml:space="preserve"> </w:t>
      </w:r>
      <w:proofErr w:type="spellStart"/>
      <w:r w:rsidRPr="00C15ADB">
        <w:rPr>
          <w:sz w:val="24"/>
          <w:lang w:val="ro-RO"/>
        </w:rPr>
        <w:t>Properties</w:t>
      </w:r>
      <w:proofErr w:type="spellEnd"/>
      <w:r w:rsidRPr="00C15ADB">
        <w:rPr>
          <w:sz w:val="24"/>
          <w:lang w:val="ro-RO"/>
        </w:rPr>
        <w:t xml:space="preserve">: </w:t>
      </w:r>
      <w:proofErr w:type="spellStart"/>
      <w:r w:rsidRPr="00C15ADB">
        <w:rPr>
          <w:sz w:val="24"/>
          <w:lang w:val="ro-RO"/>
        </w:rPr>
        <w:t>Perspectives</w:t>
      </w:r>
      <w:proofErr w:type="spellEnd"/>
      <w:r w:rsidRPr="00C15ADB">
        <w:rPr>
          <w:sz w:val="24"/>
          <w:lang w:val="ro-RO"/>
        </w:rPr>
        <w:t xml:space="preserve"> on Sex </w:t>
      </w:r>
      <w:proofErr w:type="spellStart"/>
      <w:r w:rsidRPr="00C15ADB">
        <w:rPr>
          <w:sz w:val="24"/>
          <w:lang w:val="ro-RO"/>
        </w:rPr>
        <w:t>Hormone</w:t>
      </w:r>
      <w:proofErr w:type="spellEnd"/>
      <w:r w:rsidRPr="00C15ADB">
        <w:rPr>
          <w:sz w:val="24"/>
          <w:lang w:val="ro-RO"/>
        </w:rPr>
        <w:t xml:space="preserve">-Dependent Reproductive </w:t>
      </w:r>
      <w:proofErr w:type="spellStart"/>
      <w:r w:rsidRPr="00C15ADB">
        <w:rPr>
          <w:sz w:val="24"/>
          <w:lang w:val="ro-RO"/>
        </w:rPr>
        <w:t>Development</w:t>
      </w:r>
      <w:proofErr w:type="spellEnd"/>
      <w:r w:rsidRPr="00C15ADB">
        <w:rPr>
          <w:sz w:val="24"/>
          <w:lang w:val="ro-RO"/>
        </w:rPr>
        <w:t xml:space="preserve">” (Fungicidele </w:t>
      </w:r>
      <w:proofErr w:type="spellStart"/>
      <w:r w:rsidRPr="00C15ADB">
        <w:rPr>
          <w:sz w:val="24"/>
          <w:lang w:val="ro-RO"/>
        </w:rPr>
        <w:t>azolice</w:t>
      </w:r>
      <w:proofErr w:type="spellEnd"/>
      <w:r w:rsidRPr="00C15ADB">
        <w:rPr>
          <w:sz w:val="24"/>
          <w:lang w:val="ro-RO"/>
        </w:rPr>
        <w:t xml:space="preserve"> și proprietățile lor de perturbare a sistemului endocrin: perspective asupra dezvoltării reproductive dependente de hormonii sexuali), </w:t>
      </w:r>
      <w:proofErr w:type="spellStart"/>
      <w:r w:rsidRPr="00C15ADB">
        <w:rPr>
          <w:sz w:val="24"/>
          <w:lang w:val="ro-RO"/>
        </w:rPr>
        <w:t>Frontiers</w:t>
      </w:r>
      <w:proofErr w:type="spellEnd"/>
      <w:r w:rsidRPr="00C15ADB">
        <w:rPr>
          <w:sz w:val="24"/>
          <w:lang w:val="ro-RO"/>
        </w:rPr>
        <w:t xml:space="preserve"> in </w:t>
      </w:r>
      <w:proofErr w:type="spellStart"/>
      <w:r w:rsidRPr="00C15ADB">
        <w:rPr>
          <w:sz w:val="24"/>
          <w:lang w:val="ro-RO"/>
        </w:rPr>
        <w:t>Toxicology</w:t>
      </w:r>
      <w:proofErr w:type="spellEnd"/>
      <w:r w:rsidRPr="00C15ADB">
        <w:rPr>
          <w:sz w:val="24"/>
          <w:lang w:val="ro-RO"/>
        </w:rPr>
        <w:t xml:space="preserve"> 2022, 4: 883254, </w:t>
      </w:r>
      <w:hyperlink r:id="rId5" w:history="1">
        <w:r w:rsidRPr="00C15ADB">
          <w:rPr>
            <w:rStyle w:val="Hyperlink"/>
            <w:color w:val="0000FF"/>
            <w:sz w:val="24"/>
            <w:shd w:val="clear" w:color="auto" w:fill="F7F7F7"/>
            <w:lang w:val="ro-RO"/>
          </w:rPr>
          <w:t>https://doi.org/10.3389/ftox.2022.883254</w:t>
        </w:r>
      </w:hyperlink>
      <w:r w:rsidRPr="00C15ADB">
        <w:rPr>
          <w:sz w:val="24"/>
          <w:lang w:val="ro-RO"/>
        </w:rPr>
        <w:t>.</w:t>
      </w:r>
    </w:p>
  </w:footnote>
  <w:footnote w:id="11">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Regulamentul (UE) 2018/605 al Comisiei din 19 aprilie 2018 de modificare a anexei II la Regulamentul (CE) nr. 1107/2009 prin stabilirea unor criterii științifice pentru determinarea proprietăților care perturbă sistemul endocrin (JO L 101, 20.4.2018, p. 33).</w:t>
      </w:r>
    </w:p>
  </w:footnote>
  <w:footnote w:id="12">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r w:rsidRPr="00C15ADB">
        <w:rPr>
          <w:sz w:val="24"/>
          <w:lang w:val="ro-RO"/>
        </w:rPr>
        <w:t xml:space="preserve">EFSA </w:t>
      </w:r>
      <w:proofErr w:type="spellStart"/>
      <w:r w:rsidRPr="00C15ADB">
        <w:rPr>
          <w:sz w:val="24"/>
          <w:lang w:val="ro-RO"/>
        </w:rPr>
        <w:t>Scientific</w:t>
      </w:r>
      <w:proofErr w:type="spellEnd"/>
      <w:r w:rsidRPr="00C15ADB">
        <w:rPr>
          <w:sz w:val="24"/>
          <w:lang w:val="ro-RO"/>
        </w:rPr>
        <w:t xml:space="preserve"> report of </w:t>
      </w:r>
      <w:proofErr w:type="spellStart"/>
      <w:r w:rsidRPr="00C15ADB">
        <w:rPr>
          <w:sz w:val="24"/>
          <w:lang w:val="ro-RO"/>
        </w:rPr>
        <w:t>the</w:t>
      </w:r>
      <w:proofErr w:type="spellEnd"/>
      <w:r w:rsidRPr="00C15ADB">
        <w:rPr>
          <w:sz w:val="24"/>
          <w:lang w:val="ro-RO"/>
        </w:rPr>
        <w:t xml:space="preserve"> Endocrine Active </w:t>
      </w:r>
      <w:proofErr w:type="spellStart"/>
      <w:r w:rsidRPr="00C15ADB">
        <w:rPr>
          <w:sz w:val="24"/>
          <w:lang w:val="ro-RO"/>
        </w:rPr>
        <w:t>Substances</w:t>
      </w:r>
      <w:proofErr w:type="spellEnd"/>
      <w:r w:rsidRPr="00C15ADB">
        <w:rPr>
          <w:sz w:val="24"/>
          <w:lang w:val="ro-RO"/>
        </w:rPr>
        <w:t xml:space="preserve"> Task Force (Raport științific al Grupului operativ privind modulatorii endocrini), EFSA Journal 2010; 8 (11): 1932, </w:t>
      </w:r>
      <w:hyperlink r:id="rId6" w:history="1">
        <w:r w:rsidRPr="00C15ADB">
          <w:rPr>
            <w:rStyle w:val="Hyperlink"/>
            <w:sz w:val="24"/>
            <w:lang w:val="ro-RO"/>
          </w:rPr>
          <w:t>https://doi.org/10.2903/j.efsa.2010.1932</w:t>
        </w:r>
      </w:hyperlink>
      <w:r w:rsidRPr="00C15ADB">
        <w:rPr>
          <w:sz w:val="24"/>
          <w:lang w:val="ro-RO"/>
        </w:rPr>
        <w:t xml:space="preserve">. </w:t>
      </w:r>
    </w:p>
  </w:footnote>
  <w:footnote w:id="13">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proofErr w:type="spellStart"/>
      <w:r w:rsidRPr="00C15ADB">
        <w:rPr>
          <w:sz w:val="24"/>
          <w:lang w:val="ro-RO"/>
        </w:rPr>
        <w:t>Zhang</w:t>
      </w:r>
      <w:proofErr w:type="spellEnd"/>
      <w:r w:rsidRPr="00C15ADB">
        <w:rPr>
          <w:sz w:val="24"/>
          <w:lang w:val="ro-RO"/>
        </w:rPr>
        <w:t xml:space="preserve">, J., </w:t>
      </w:r>
      <w:proofErr w:type="spellStart"/>
      <w:r w:rsidRPr="00C15ADB">
        <w:rPr>
          <w:sz w:val="24"/>
          <w:lang w:val="ro-RO"/>
        </w:rPr>
        <w:t>Jimenez</w:t>
      </w:r>
      <w:proofErr w:type="spellEnd"/>
      <w:r w:rsidRPr="00C15ADB">
        <w:rPr>
          <w:sz w:val="24"/>
          <w:lang w:val="ro-RO"/>
        </w:rPr>
        <w:t xml:space="preserve">, L.L., </w:t>
      </w:r>
      <w:proofErr w:type="spellStart"/>
      <w:r w:rsidRPr="00C15ADB">
        <w:rPr>
          <w:sz w:val="24"/>
          <w:lang w:val="ro-RO"/>
        </w:rPr>
        <w:t>Snelders</w:t>
      </w:r>
      <w:proofErr w:type="spellEnd"/>
      <w:r w:rsidRPr="00C15ADB">
        <w:rPr>
          <w:sz w:val="24"/>
          <w:lang w:val="ro-RO"/>
        </w:rPr>
        <w:t xml:space="preserve">, E., </w:t>
      </w:r>
      <w:proofErr w:type="spellStart"/>
      <w:r w:rsidRPr="00C15ADB">
        <w:rPr>
          <w:sz w:val="24"/>
          <w:lang w:val="ro-RO"/>
        </w:rPr>
        <w:t>Debets</w:t>
      </w:r>
      <w:proofErr w:type="spellEnd"/>
      <w:r w:rsidRPr="00C15ADB">
        <w:rPr>
          <w:sz w:val="24"/>
          <w:lang w:val="ro-RO"/>
        </w:rPr>
        <w:t xml:space="preserve">, A.J.M., </w:t>
      </w:r>
      <w:proofErr w:type="spellStart"/>
      <w:r w:rsidRPr="00C15ADB">
        <w:rPr>
          <w:sz w:val="24"/>
          <w:lang w:val="ro-RO"/>
        </w:rPr>
        <w:t>Rietveld</w:t>
      </w:r>
      <w:proofErr w:type="spellEnd"/>
      <w:r w:rsidRPr="00C15ADB">
        <w:rPr>
          <w:sz w:val="24"/>
          <w:lang w:val="ro-RO"/>
        </w:rPr>
        <w:t xml:space="preserve">, A.G., </w:t>
      </w:r>
      <w:proofErr w:type="spellStart"/>
      <w:r w:rsidRPr="00C15ADB">
        <w:rPr>
          <w:sz w:val="24"/>
          <w:lang w:val="ro-RO"/>
        </w:rPr>
        <w:t>Zwaan</w:t>
      </w:r>
      <w:proofErr w:type="spellEnd"/>
      <w:r w:rsidRPr="00C15ADB">
        <w:rPr>
          <w:sz w:val="24"/>
          <w:lang w:val="ro-RO"/>
        </w:rPr>
        <w:t xml:space="preserve">, B.J., </w:t>
      </w:r>
      <w:proofErr w:type="spellStart"/>
      <w:r w:rsidRPr="00C15ADB">
        <w:rPr>
          <w:sz w:val="24"/>
          <w:lang w:val="ro-RO"/>
        </w:rPr>
        <w:t>Verweij</w:t>
      </w:r>
      <w:proofErr w:type="spellEnd"/>
      <w:r w:rsidRPr="00C15ADB">
        <w:rPr>
          <w:sz w:val="24"/>
          <w:lang w:val="ro-RO"/>
        </w:rPr>
        <w:t xml:space="preserve">, P.E., </w:t>
      </w:r>
      <w:proofErr w:type="spellStart"/>
      <w:r w:rsidRPr="00C15ADB">
        <w:rPr>
          <w:sz w:val="24"/>
          <w:lang w:val="ro-RO"/>
        </w:rPr>
        <w:t>Schoustra</w:t>
      </w:r>
      <w:proofErr w:type="spellEnd"/>
      <w:r w:rsidRPr="00C15ADB">
        <w:rPr>
          <w:sz w:val="24"/>
          <w:lang w:val="ro-RO"/>
        </w:rPr>
        <w:t xml:space="preserve">, S.E., ‘Dynamics of </w:t>
      </w:r>
      <w:proofErr w:type="spellStart"/>
      <w:r w:rsidRPr="00C15ADB">
        <w:rPr>
          <w:i/>
          <w:sz w:val="24"/>
          <w:lang w:val="ro-RO"/>
        </w:rPr>
        <w:t>Aspergillus</w:t>
      </w:r>
      <w:proofErr w:type="spellEnd"/>
      <w:r w:rsidRPr="00C15ADB">
        <w:rPr>
          <w:i/>
          <w:sz w:val="24"/>
          <w:lang w:val="ro-RO"/>
        </w:rPr>
        <w:t xml:space="preserve"> </w:t>
      </w:r>
      <w:proofErr w:type="spellStart"/>
      <w:r w:rsidRPr="00C15ADB">
        <w:rPr>
          <w:i/>
          <w:sz w:val="24"/>
          <w:lang w:val="ro-RO"/>
        </w:rPr>
        <w:t>fumigatus</w:t>
      </w:r>
      <w:proofErr w:type="spellEnd"/>
      <w:r w:rsidRPr="00C15ADB">
        <w:rPr>
          <w:sz w:val="24"/>
          <w:lang w:val="ro-RO"/>
        </w:rPr>
        <w:t xml:space="preserve"> in </w:t>
      </w:r>
      <w:proofErr w:type="spellStart"/>
      <w:r w:rsidRPr="00C15ADB">
        <w:rPr>
          <w:sz w:val="24"/>
          <w:lang w:val="ro-RO"/>
        </w:rPr>
        <w:t>Azole</w:t>
      </w:r>
      <w:proofErr w:type="spellEnd"/>
      <w:r w:rsidRPr="00C15ADB">
        <w:rPr>
          <w:sz w:val="24"/>
          <w:lang w:val="ro-RO"/>
        </w:rPr>
        <w:t xml:space="preserve"> Fungicide-</w:t>
      </w:r>
      <w:proofErr w:type="spellStart"/>
      <w:r w:rsidRPr="00C15ADB">
        <w:rPr>
          <w:sz w:val="24"/>
          <w:lang w:val="ro-RO"/>
        </w:rPr>
        <w:t>Containing</w:t>
      </w:r>
      <w:proofErr w:type="spellEnd"/>
      <w:r w:rsidRPr="00C15ADB">
        <w:rPr>
          <w:sz w:val="24"/>
          <w:lang w:val="ro-RO"/>
        </w:rPr>
        <w:t xml:space="preserve"> </w:t>
      </w:r>
      <w:proofErr w:type="spellStart"/>
      <w:r w:rsidRPr="00C15ADB">
        <w:rPr>
          <w:sz w:val="24"/>
          <w:lang w:val="ro-RO"/>
        </w:rPr>
        <w:t>Plant</w:t>
      </w:r>
      <w:proofErr w:type="spellEnd"/>
      <w:r w:rsidRPr="00C15ADB">
        <w:rPr>
          <w:sz w:val="24"/>
          <w:lang w:val="ro-RO"/>
        </w:rPr>
        <w:t xml:space="preserve"> </w:t>
      </w:r>
      <w:proofErr w:type="spellStart"/>
      <w:r w:rsidRPr="00C15ADB">
        <w:rPr>
          <w:sz w:val="24"/>
          <w:lang w:val="ro-RO"/>
        </w:rPr>
        <w:t>Waste</w:t>
      </w:r>
      <w:proofErr w:type="spellEnd"/>
      <w:r w:rsidRPr="00C15ADB">
        <w:rPr>
          <w:sz w:val="24"/>
          <w:lang w:val="ro-RO"/>
        </w:rPr>
        <w:t xml:space="preserve"> in </w:t>
      </w:r>
      <w:proofErr w:type="spellStart"/>
      <w:r w:rsidRPr="00C15ADB">
        <w:rPr>
          <w:sz w:val="24"/>
          <w:lang w:val="ro-RO"/>
        </w:rPr>
        <w:t>the</w:t>
      </w:r>
      <w:proofErr w:type="spellEnd"/>
      <w:r w:rsidRPr="00C15ADB">
        <w:rPr>
          <w:sz w:val="24"/>
          <w:lang w:val="ro-RO"/>
        </w:rPr>
        <w:t xml:space="preserve"> </w:t>
      </w:r>
      <w:proofErr w:type="spellStart"/>
      <w:r w:rsidRPr="00C15ADB">
        <w:rPr>
          <w:sz w:val="24"/>
          <w:lang w:val="ro-RO"/>
        </w:rPr>
        <w:t>Netherlands</w:t>
      </w:r>
      <w:proofErr w:type="spellEnd"/>
      <w:r w:rsidRPr="00C15ADB">
        <w:rPr>
          <w:sz w:val="24"/>
          <w:lang w:val="ro-RO"/>
        </w:rPr>
        <w:t xml:space="preserve"> (2016-2017)’ (Dinamica </w:t>
      </w:r>
      <w:proofErr w:type="spellStart"/>
      <w:r w:rsidRPr="00C15ADB">
        <w:rPr>
          <w:i/>
          <w:iCs/>
          <w:sz w:val="24"/>
          <w:lang w:val="ro-RO"/>
        </w:rPr>
        <w:t>Aspergillus</w:t>
      </w:r>
      <w:proofErr w:type="spellEnd"/>
      <w:r w:rsidRPr="00C15ADB">
        <w:rPr>
          <w:i/>
          <w:iCs/>
          <w:sz w:val="24"/>
          <w:lang w:val="ro-RO"/>
        </w:rPr>
        <w:t xml:space="preserve"> </w:t>
      </w:r>
      <w:proofErr w:type="spellStart"/>
      <w:r w:rsidRPr="00C15ADB">
        <w:rPr>
          <w:i/>
          <w:iCs/>
          <w:sz w:val="24"/>
          <w:lang w:val="ro-RO"/>
        </w:rPr>
        <w:t>fumigatus</w:t>
      </w:r>
      <w:proofErr w:type="spellEnd"/>
      <w:r w:rsidRPr="00C15ADB">
        <w:rPr>
          <w:sz w:val="24"/>
          <w:lang w:val="ro-RO"/>
        </w:rPr>
        <w:t xml:space="preserve"> în deșeurile vegetale care conțin fungicide </w:t>
      </w:r>
      <w:proofErr w:type="spellStart"/>
      <w:r w:rsidRPr="00C15ADB">
        <w:rPr>
          <w:sz w:val="24"/>
          <w:lang w:val="ro-RO"/>
        </w:rPr>
        <w:t>azolice</w:t>
      </w:r>
      <w:proofErr w:type="spellEnd"/>
      <w:r w:rsidRPr="00C15ADB">
        <w:rPr>
          <w:sz w:val="24"/>
          <w:lang w:val="ro-RO"/>
        </w:rPr>
        <w:t xml:space="preserve"> în Țările de Jos), </w:t>
      </w:r>
      <w:proofErr w:type="spellStart"/>
      <w:r w:rsidRPr="00C15ADB">
        <w:rPr>
          <w:sz w:val="24"/>
          <w:lang w:val="ro-RO"/>
        </w:rPr>
        <w:t>Applied</w:t>
      </w:r>
      <w:proofErr w:type="spellEnd"/>
      <w:r w:rsidRPr="00C15ADB">
        <w:rPr>
          <w:sz w:val="24"/>
          <w:lang w:val="ro-RO"/>
        </w:rPr>
        <w:t xml:space="preserve"> </w:t>
      </w:r>
      <w:proofErr w:type="spellStart"/>
      <w:r w:rsidRPr="00C15ADB">
        <w:rPr>
          <w:sz w:val="24"/>
          <w:lang w:val="ro-RO"/>
        </w:rPr>
        <w:t>and</w:t>
      </w:r>
      <w:proofErr w:type="spellEnd"/>
      <w:r w:rsidRPr="00C15ADB">
        <w:rPr>
          <w:sz w:val="24"/>
          <w:lang w:val="ro-RO"/>
        </w:rPr>
        <w:t xml:space="preserve"> </w:t>
      </w:r>
      <w:proofErr w:type="spellStart"/>
      <w:r w:rsidRPr="00C15ADB">
        <w:rPr>
          <w:sz w:val="24"/>
          <w:lang w:val="ro-RO"/>
        </w:rPr>
        <w:t>Environmental</w:t>
      </w:r>
      <w:proofErr w:type="spellEnd"/>
      <w:r w:rsidRPr="00C15ADB">
        <w:rPr>
          <w:sz w:val="24"/>
          <w:lang w:val="ro-RO"/>
        </w:rPr>
        <w:t xml:space="preserve"> </w:t>
      </w:r>
      <w:proofErr w:type="spellStart"/>
      <w:r w:rsidRPr="00C15ADB">
        <w:rPr>
          <w:sz w:val="24"/>
          <w:lang w:val="ro-RO"/>
        </w:rPr>
        <w:t>Microbiology</w:t>
      </w:r>
      <w:proofErr w:type="spellEnd"/>
      <w:r w:rsidRPr="00C15ADB">
        <w:rPr>
          <w:sz w:val="24"/>
          <w:lang w:val="ro-RO"/>
        </w:rPr>
        <w:t xml:space="preserve"> 2021, 87:e02295-20, </w:t>
      </w:r>
      <w:hyperlink r:id="rId7" w:history="1">
        <w:r w:rsidRPr="00C15ADB">
          <w:rPr>
            <w:rStyle w:val="Hyperlink"/>
            <w:sz w:val="24"/>
            <w:lang w:val="ro-RO"/>
          </w:rPr>
          <w:t>https://doi.org/10.1128/AEM.02295-20</w:t>
        </w:r>
      </w:hyperlink>
      <w:r w:rsidRPr="00C15ADB">
        <w:rPr>
          <w:color w:val="000000"/>
          <w:sz w:val="24"/>
          <w:lang w:val="ro-RO"/>
        </w:rPr>
        <w:t xml:space="preserve">; </w:t>
      </w:r>
      <w:r w:rsidRPr="00C15ADB">
        <w:rPr>
          <w:sz w:val="24"/>
          <w:lang w:val="ro-RO"/>
        </w:rPr>
        <w:t xml:space="preserve">Comisia daneză pentru mediu și produse alimentare privind rezistența la </w:t>
      </w:r>
      <w:proofErr w:type="spellStart"/>
      <w:r w:rsidRPr="00C15ADB">
        <w:rPr>
          <w:sz w:val="24"/>
          <w:lang w:val="ro-RO"/>
        </w:rPr>
        <w:t>azoli</w:t>
      </w:r>
      <w:proofErr w:type="spellEnd"/>
      <w:r w:rsidRPr="00C15ADB">
        <w:rPr>
          <w:sz w:val="24"/>
          <w:lang w:val="ro-RO"/>
        </w:rPr>
        <w:t xml:space="preserve">, </w:t>
      </w:r>
      <w:hyperlink r:id="rId8" w:history="1">
        <w:r w:rsidRPr="00C15ADB">
          <w:rPr>
            <w:rStyle w:val="Hyperlink"/>
            <w:sz w:val="24"/>
            <w:lang w:val="ro-RO"/>
          </w:rPr>
          <w:t>https://www.ft.dk/samling/20181/almdel/MOF/bilag/407/2016336.pdf</w:t>
        </w:r>
      </w:hyperlink>
      <w:r w:rsidRPr="00C15ADB">
        <w:rPr>
          <w:color w:val="000000"/>
          <w:sz w:val="24"/>
          <w:lang w:val="ro-RO"/>
        </w:rPr>
        <w:t xml:space="preserve">; </w:t>
      </w:r>
      <w:proofErr w:type="spellStart"/>
      <w:r w:rsidRPr="00C15ADB">
        <w:rPr>
          <w:color w:val="000000"/>
          <w:sz w:val="24"/>
          <w:lang w:val="ro-RO"/>
        </w:rPr>
        <w:t>Snelders</w:t>
      </w:r>
      <w:proofErr w:type="spellEnd"/>
      <w:r w:rsidRPr="00C15ADB">
        <w:rPr>
          <w:color w:val="000000"/>
          <w:sz w:val="24"/>
          <w:lang w:val="ro-RO"/>
        </w:rPr>
        <w:t xml:space="preserve">, E., </w:t>
      </w:r>
      <w:proofErr w:type="spellStart"/>
      <w:r w:rsidRPr="00C15ADB">
        <w:rPr>
          <w:color w:val="000000"/>
          <w:sz w:val="24"/>
          <w:lang w:val="ro-RO"/>
        </w:rPr>
        <w:t>Camps</w:t>
      </w:r>
      <w:proofErr w:type="spellEnd"/>
      <w:r w:rsidRPr="00C15ADB">
        <w:rPr>
          <w:color w:val="000000"/>
          <w:sz w:val="24"/>
          <w:lang w:val="ro-RO"/>
        </w:rPr>
        <w:t xml:space="preserve">, S.M.T., </w:t>
      </w:r>
      <w:proofErr w:type="spellStart"/>
      <w:r w:rsidRPr="00C15ADB">
        <w:rPr>
          <w:color w:val="000000"/>
          <w:sz w:val="24"/>
          <w:lang w:val="ro-RO"/>
        </w:rPr>
        <w:t>Karawajczyk</w:t>
      </w:r>
      <w:proofErr w:type="spellEnd"/>
      <w:r w:rsidRPr="00C15ADB">
        <w:rPr>
          <w:color w:val="000000"/>
          <w:sz w:val="24"/>
          <w:lang w:val="ro-RO"/>
        </w:rPr>
        <w:t xml:space="preserve">, A., </w:t>
      </w:r>
      <w:proofErr w:type="spellStart"/>
      <w:r w:rsidRPr="00C15ADB">
        <w:rPr>
          <w:color w:val="000000"/>
          <w:sz w:val="24"/>
          <w:lang w:val="ro-RO"/>
        </w:rPr>
        <w:t>Schaftenaar</w:t>
      </w:r>
      <w:proofErr w:type="spellEnd"/>
      <w:r w:rsidRPr="00C15ADB">
        <w:rPr>
          <w:color w:val="000000"/>
          <w:sz w:val="24"/>
          <w:lang w:val="ro-RO"/>
        </w:rPr>
        <w:t xml:space="preserve">, G., </w:t>
      </w:r>
      <w:proofErr w:type="spellStart"/>
      <w:r w:rsidRPr="00C15ADB">
        <w:rPr>
          <w:color w:val="000000"/>
          <w:sz w:val="24"/>
          <w:lang w:val="ro-RO"/>
        </w:rPr>
        <w:t>Kema</w:t>
      </w:r>
      <w:proofErr w:type="spellEnd"/>
      <w:r w:rsidRPr="00C15ADB">
        <w:rPr>
          <w:color w:val="000000"/>
          <w:sz w:val="24"/>
          <w:lang w:val="ro-RO"/>
        </w:rPr>
        <w:t xml:space="preserve">, G.H.J., van </w:t>
      </w:r>
      <w:proofErr w:type="spellStart"/>
      <w:r w:rsidRPr="00C15ADB">
        <w:rPr>
          <w:color w:val="000000"/>
          <w:sz w:val="24"/>
          <w:lang w:val="ro-RO"/>
        </w:rPr>
        <w:t>der</w:t>
      </w:r>
      <w:proofErr w:type="spellEnd"/>
      <w:r w:rsidRPr="00C15ADB">
        <w:rPr>
          <w:color w:val="000000"/>
          <w:sz w:val="24"/>
          <w:lang w:val="ro-RO"/>
        </w:rPr>
        <w:t xml:space="preserve"> Lee, H.A., și al., ‘</w:t>
      </w:r>
      <w:proofErr w:type="spellStart"/>
      <w:r w:rsidRPr="00C15ADB">
        <w:rPr>
          <w:color w:val="000000"/>
          <w:sz w:val="24"/>
          <w:lang w:val="ro-RO"/>
        </w:rPr>
        <w:t>Triazole</w:t>
      </w:r>
      <w:proofErr w:type="spellEnd"/>
      <w:r w:rsidRPr="00C15ADB">
        <w:rPr>
          <w:color w:val="000000"/>
          <w:sz w:val="24"/>
          <w:lang w:val="ro-RO"/>
        </w:rPr>
        <w:t xml:space="preserve"> </w:t>
      </w:r>
      <w:proofErr w:type="spellStart"/>
      <w:r w:rsidRPr="00C15ADB">
        <w:rPr>
          <w:color w:val="000000"/>
          <w:sz w:val="24"/>
          <w:lang w:val="ro-RO"/>
        </w:rPr>
        <w:t>Fungicides</w:t>
      </w:r>
      <w:proofErr w:type="spellEnd"/>
      <w:r w:rsidRPr="00C15ADB">
        <w:rPr>
          <w:color w:val="000000"/>
          <w:sz w:val="24"/>
          <w:lang w:val="ro-RO"/>
        </w:rPr>
        <w:t xml:space="preserve"> </w:t>
      </w:r>
      <w:proofErr w:type="spellStart"/>
      <w:r w:rsidRPr="00C15ADB">
        <w:rPr>
          <w:color w:val="000000"/>
          <w:sz w:val="24"/>
          <w:lang w:val="ro-RO"/>
        </w:rPr>
        <w:t>Can</w:t>
      </w:r>
      <w:proofErr w:type="spellEnd"/>
      <w:r w:rsidRPr="00C15ADB">
        <w:rPr>
          <w:color w:val="000000"/>
          <w:sz w:val="24"/>
          <w:lang w:val="ro-RO"/>
        </w:rPr>
        <w:t xml:space="preserve"> Induce Cross-</w:t>
      </w:r>
      <w:proofErr w:type="spellStart"/>
      <w:r w:rsidRPr="00C15ADB">
        <w:rPr>
          <w:color w:val="000000"/>
          <w:sz w:val="24"/>
          <w:lang w:val="ro-RO"/>
        </w:rPr>
        <w:t>Resistance</w:t>
      </w:r>
      <w:proofErr w:type="spellEnd"/>
      <w:r w:rsidRPr="00C15ADB">
        <w:rPr>
          <w:color w:val="000000"/>
          <w:sz w:val="24"/>
          <w:lang w:val="ro-RO"/>
        </w:rPr>
        <w:t xml:space="preserve"> </w:t>
      </w:r>
      <w:proofErr w:type="spellStart"/>
      <w:r w:rsidRPr="00C15ADB">
        <w:rPr>
          <w:color w:val="000000"/>
          <w:sz w:val="24"/>
          <w:lang w:val="ro-RO"/>
        </w:rPr>
        <w:t>to</w:t>
      </w:r>
      <w:proofErr w:type="spellEnd"/>
      <w:r w:rsidRPr="00C15ADB">
        <w:rPr>
          <w:color w:val="000000"/>
          <w:sz w:val="24"/>
          <w:lang w:val="ro-RO"/>
        </w:rPr>
        <w:t xml:space="preserve"> Medical </w:t>
      </w:r>
      <w:proofErr w:type="spellStart"/>
      <w:r w:rsidRPr="00C15ADB">
        <w:rPr>
          <w:color w:val="000000"/>
          <w:sz w:val="24"/>
          <w:lang w:val="ro-RO"/>
        </w:rPr>
        <w:t>Triazoles</w:t>
      </w:r>
      <w:proofErr w:type="spellEnd"/>
      <w:r w:rsidRPr="00C15ADB">
        <w:rPr>
          <w:color w:val="000000"/>
          <w:sz w:val="24"/>
          <w:lang w:val="ro-RO"/>
        </w:rPr>
        <w:t xml:space="preserve"> in </w:t>
      </w:r>
      <w:proofErr w:type="spellStart"/>
      <w:r w:rsidRPr="00C15ADB">
        <w:rPr>
          <w:i/>
          <w:color w:val="000000"/>
          <w:sz w:val="24"/>
          <w:lang w:val="ro-RO"/>
        </w:rPr>
        <w:t>Aspergillus</w:t>
      </w:r>
      <w:proofErr w:type="spellEnd"/>
      <w:r w:rsidRPr="00C15ADB">
        <w:rPr>
          <w:i/>
          <w:color w:val="000000"/>
          <w:sz w:val="24"/>
          <w:lang w:val="ro-RO"/>
        </w:rPr>
        <w:t xml:space="preserve"> </w:t>
      </w:r>
      <w:proofErr w:type="spellStart"/>
      <w:r w:rsidRPr="00C15ADB">
        <w:rPr>
          <w:i/>
          <w:color w:val="000000"/>
          <w:sz w:val="24"/>
          <w:lang w:val="ro-RO"/>
        </w:rPr>
        <w:t>fumigatus</w:t>
      </w:r>
      <w:proofErr w:type="spellEnd"/>
      <w:r w:rsidRPr="00C15ADB">
        <w:rPr>
          <w:i/>
          <w:color w:val="000000"/>
          <w:sz w:val="24"/>
          <w:lang w:val="ro-RO"/>
        </w:rPr>
        <w:t>’</w:t>
      </w:r>
      <w:r w:rsidRPr="00C15ADB">
        <w:rPr>
          <w:color w:val="000000"/>
          <w:sz w:val="24"/>
          <w:lang w:val="ro-RO"/>
        </w:rPr>
        <w:t xml:space="preserve"> (Fungicidele </w:t>
      </w:r>
      <w:proofErr w:type="spellStart"/>
      <w:r w:rsidRPr="00C15ADB">
        <w:rPr>
          <w:color w:val="000000"/>
          <w:sz w:val="24"/>
          <w:lang w:val="ro-RO"/>
        </w:rPr>
        <w:t>triazolice</w:t>
      </w:r>
      <w:proofErr w:type="spellEnd"/>
      <w:r w:rsidRPr="00C15ADB">
        <w:rPr>
          <w:color w:val="000000"/>
          <w:sz w:val="24"/>
          <w:lang w:val="ro-RO"/>
        </w:rPr>
        <w:t xml:space="preserve"> pot induce rezistență încrucișată la </w:t>
      </w:r>
      <w:proofErr w:type="spellStart"/>
      <w:r w:rsidRPr="00C15ADB">
        <w:rPr>
          <w:color w:val="000000"/>
          <w:sz w:val="24"/>
          <w:lang w:val="ro-RO"/>
        </w:rPr>
        <w:t>triazoli</w:t>
      </w:r>
      <w:proofErr w:type="spellEnd"/>
      <w:r w:rsidRPr="00C15ADB">
        <w:rPr>
          <w:color w:val="000000"/>
          <w:sz w:val="24"/>
          <w:lang w:val="ro-RO"/>
        </w:rPr>
        <w:t xml:space="preserve"> medicinali în cazul </w:t>
      </w:r>
      <w:proofErr w:type="spellStart"/>
      <w:r w:rsidRPr="00C15ADB">
        <w:rPr>
          <w:i/>
          <w:iCs/>
          <w:color w:val="000000"/>
          <w:sz w:val="24"/>
          <w:lang w:val="ro-RO"/>
        </w:rPr>
        <w:t>Aspergillus</w:t>
      </w:r>
      <w:proofErr w:type="spellEnd"/>
      <w:r w:rsidRPr="00C15ADB">
        <w:rPr>
          <w:i/>
          <w:iCs/>
          <w:color w:val="000000"/>
          <w:sz w:val="24"/>
          <w:lang w:val="ro-RO"/>
        </w:rPr>
        <w:t xml:space="preserve"> </w:t>
      </w:r>
      <w:proofErr w:type="spellStart"/>
      <w:r w:rsidRPr="00C15ADB">
        <w:rPr>
          <w:i/>
          <w:iCs/>
          <w:color w:val="000000"/>
          <w:sz w:val="24"/>
          <w:lang w:val="ro-RO"/>
        </w:rPr>
        <w:t>fumigatus</w:t>
      </w:r>
      <w:proofErr w:type="spellEnd"/>
      <w:r w:rsidRPr="00C15ADB">
        <w:rPr>
          <w:color w:val="000000"/>
          <w:sz w:val="24"/>
          <w:lang w:val="ro-RO"/>
        </w:rPr>
        <w:t xml:space="preserve">). </w:t>
      </w:r>
      <w:proofErr w:type="spellStart"/>
      <w:r w:rsidRPr="00C15ADB">
        <w:rPr>
          <w:color w:val="000000"/>
          <w:sz w:val="24"/>
          <w:lang w:val="ro-RO"/>
        </w:rPr>
        <w:t>PLoS</w:t>
      </w:r>
      <w:proofErr w:type="spellEnd"/>
      <w:r w:rsidRPr="00C15ADB">
        <w:rPr>
          <w:color w:val="000000"/>
          <w:sz w:val="24"/>
          <w:lang w:val="ro-RO"/>
        </w:rPr>
        <w:t xml:space="preserve"> ONE 2012, 7(3): e31801. https://doi.org/10.1371/journal.pone.0031801.</w:t>
      </w:r>
    </w:p>
  </w:footnote>
  <w:footnote w:id="14">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hyperlink r:id="rId9" w:history="1">
        <w:r w:rsidRPr="00C15ADB">
          <w:rPr>
            <w:rStyle w:val="Hyperlink"/>
            <w:sz w:val="24"/>
            <w:lang w:val="ro-RO"/>
          </w:rPr>
          <w:t>https://open.efsa.europa.eu/question/EFSA-Q-2022-00040</w:t>
        </w:r>
      </w:hyperlink>
      <w:r w:rsidRPr="00C15ADB">
        <w:rPr>
          <w:sz w:val="24"/>
          <w:lang w:val="ro-RO"/>
        </w:rPr>
        <w:t>.</w:t>
      </w:r>
    </w:p>
  </w:footnote>
  <w:footnote w:id="15">
    <w:p w:rsidR="0068564E" w:rsidRPr="00C15ADB" w:rsidRDefault="0068564E" w:rsidP="00B85ED8">
      <w:pPr>
        <w:pStyle w:val="FootnoteText"/>
        <w:ind w:left="567" w:hanging="567"/>
        <w:rPr>
          <w:sz w:val="24"/>
          <w:lang w:val="ro-RO"/>
        </w:rPr>
      </w:pPr>
      <w:r w:rsidRPr="00C15ADB">
        <w:rPr>
          <w:rStyle w:val="FootnoteReference"/>
          <w:sz w:val="24"/>
          <w:lang w:val="ro-RO"/>
        </w:rPr>
        <w:footnoteRef/>
      </w:r>
      <w:r w:rsidR="00B85ED8" w:rsidRPr="00C15ADB">
        <w:rPr>
          <w:sz w:val="24"/>
          <w:lang w:val="ro-RO"/>
        </w:rPr>
        <w:t xml:space="preserve"> </w:t>
      </w:r>
      <w:r w:rsidR="00B85ED8" w:rsidRPr="00C15ADB">
        <w:rPr>
          <w:sz w:val="24"/>
          <w:lang w:val="ro-RO"/>
        </w:rPr>
        <w:tab/>
      </w:r>
      <w:hyperlink r:id="rId10" w:history="1">
        <w:r w:rsidRPr="00C15ADB">
          <w:rPr>
            <w:rStyle w:val="Hyperlink"/>
            <w:sz w:val="24"/>
            <w:lang w:val="ro-RO"/>
          </w:rPr>
          <w:t>https://ec.europa.eu/transparency/comitology-register/screen/documents/089880/5/consult?lang=ro</w:t>
        </w:r>
      </w:hyperlink>
      <w:r w:rsidRPr="00C15ADB">
        <w:rPr>
          <w:rStyle w:val="Hyperlink"/>
          <w:sz w:val="24"/>
          <w:lang w:val="ro-RO"/>
        </w:rPr>
        <w:t>.</w:t>
      </w:r>
      <w:r w:rsidRPr="00C15ADB">
        <w:rPr>
          <w:sz w:val="24"/>
          <w:lang w:val="ro-RO"/>
        </w:rPr>
        <w:t xml:space="preserve"> </w:t>
      </w:r>
    </w:p>
  </w:footnote>
  <w:footnote w:id="16">
    <w:p w:rsidR="0068564E" w:rsidRPr="00B85ED8" w:rsidRDefault="0068564E" w:rsidP="00B85ED8">
      <w:pPr>
        <w:pStyle w:val="FootnoteText"/>
        <w:ind w:left="567" w:hanging="567"/>
        <w:rPr>
          <w:sz w:val="24"/>
          <w:lang w:val="ro-RO"/>
        </w:rPr>
      </w:pPr>
      <w:r w:rsidRPr="00C15ADB">
        <w:rPr>
          <w:sz w:val="24"/>
          <w:vertAlign w:val="superscript"/>
          <w:lang w:val="ro-RO"/>
        </w:rPr>
        <w:footnoteRef/>
      </w:r>
      <w:r w:rsidR="00B85ED8" w:rsidRPr="00C15ADB">
        <w:rPr>
          <w:sz w:val="24"/>
          <w:lang w:val="ro-RO"/>
        </w:rPr>
        <w:t xml:space="preserve"> </w:t>
      </w:r>
      <w:r w:rsidR="00B85ED8" w:rsidRPr="00C15ADB">
        <w:rPr>
          <w:sz w:val="24"/>
          <w:lang w:val="ro-RO"/>
        </w:rPr>
        <w:tab/>
      </w:r>
      <w:r w:rsidRPr="00C15ADB">
        <w:rPr>
          <w:sz w:val="24"/>
          <w:lang w:val="ro-RO"/>
        </w:rPr>
        <w:t>COM(2020)0381.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RO"/>
    <w:docVar w:name="dvnumam" w:val="0"/>
    <w:docVar w:name="dvpe" w:val="763.091"/>
    <w:docVar w:name="dvtitre" w:val="Rezoluția Parlamentului European din ... septembrie 2024 referitoare la proiectul de regulament al Comisiei de modificare a anexelor II și III la Regulamentul (CE) nr. 396/2005 al Parlamentului European și al Consiliului în ceea ce privește limitele maxime de reziduuri aplicabile substanțelor ciproconazol și spirodiclofen din sau de pe anumite produse(D091952/05 – 2024/2759(RPS))"/>
  </w:docVars>
  <w:rsids>
    <w:rsidRoot w:val="004650C3"/>
    <w:rsid w:val="00002272"/>
    <w:rsid w:val="00064002"/>
    <w:rsid w:val="000677B9"/>
    <w:rsid w:val="000831BA"/>
    <w:rsid w:val="000A42CC"/>
    <w:rsid w:val="000E7DD9"/>
    <w:rsid w:val="0010095E"/>
    <w:rsid w:val="00125B37"/>
    <w:rsid w:val="00187494"/>
    <w:rsid w:val="001E1005"/>
    <w:rsid w:val="001F32AE"/>
    <w:rsid w:val="002767FF"/>
    <w:rsid w:val="002B18FE"/>
    <w:rsid w:val="002B5493"/>
    <w:rsid w:val="00343214"/>
    <w:rsid w:val="00361C00"/>
    <w:rsid w:val="00395FA1"/>
    <w:rsid w:val="003E15D4"/>
    <w:rsid w:val="00411CCE"/>
    <w:rsid w:val="0041666E"/>
    <w:rsid w:val="00421060"/>
    <w:rsid w:val="004650C3"/>
    <w:rsid w:val="00471C19"/>
    <w:rsid w:val="004867E3"/>
    <w:rsid w:val="00494A28"/>
    <w:rsid w:val="004C0004"/>
    <w:rsid w:val="004C5D52"/>
    <w:rsid w:val="0050519A"/>
    <w:rsid w:val="005072A1"/>
    <w:rsid w:val="00514517"/>
    <w:rsid w:val="00545827"/>
    <w:rsid w:val="00560270"/>
    <w:rsid w:val="00581A4F"/>
    <w:rsid w:val="005C2568"/>
    <w:rsid w:val="005F1B17"/>
    <w:rsid w:val="006037C0"/>
    <w:rsid w:val="006631B6"/>
    <w:rsid w:val="00680577"/>
    <w:rsid w:val="0068564E"/>
    <w:rsid w:val="006F74FA"/>
    <w:rsid w:val="00731ADD"/>
    <w:rsid w:val="00734777"/>
    <w:rsid w:val="00747932"/>
    <w:rsid w:val="00751A4A"/>
    <w:rsid w:val="00756632"/>
    <w:rsid w:val="00762C74"/>
    <w:rsid w:val="00786EC0"/>
    <w:rsid w:val="007D1690"/>
    <w:rsid w:val="007E22AD"/>
    <w:rsid w:val="00817416"/>
    <w:rsid w:val="00842779"/>
    <w:rsid w:val="00865F67"/>
    <w:rsid w:val="00877F80"/>
    <w:rsid w:val="00881A7B"/>
    <w:rsid w:val="008840E5"/>
    <w:rsid w:val="00887B3E"/>
    <w:rsid w:val="008C2AC6"/>
    <w:rsid w:val="00930C23"/>
    <w:rsid w:val="0093193B"/>
    <w:rsid w:val="00947F8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ED8"/>
    <w:rsid w:val="00BD48FE"/>
    <w:rsid w:val="00BD7BD8"/>
    <w:rsid w:val="00BE6ADC"/>
    <w:rsid w:val="00C05BFE"/>
    <w:rsid w:val="00C15ADB"/>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1C910B-0D8F-4EA2-970B-6AD320DAF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564E"/>
    <w:pPr>
      <w:spacing w:before="480" w:after="240"/>
    </w:pPr>
  </w:style>
  <w:style w:type="paragraph" w:customStyle="1" w:styleId="NormalHanging12a">
    <w:name w:val="NormalHanging12a"/>
    <w:basedOn w:val="Normal"/>
    <w:uiPriority w:val="99"/>
    <w:rsid w:val="0068564E"/>
    <w:pPr>
      <w:spacing w:after="240"/>
      <w:ind w:left="567" w:hanging="567"/>
    </w:pPr>
  </w:style>
  <w:style w:type="character" w:styleId="Hyperlink">
    <w:name w:val="Hyperlink"/>
    <w:basedOn w:val="DefaultParagraphFont"/>
    <w:uiPriority w:val="99"/>
    <w:rsid w:val="0068564E"/>
    <w:rPr>
      <w:color w:val="0563C1" w:themeColor="hyperlink"/>
      <w:u w:val="single"/>
    </w:rPr>
  </w:style>
  <w:style w:type="paragraph" w:styleId="BalloonText">
    <w:name w:val="Balloon Text"/>
    <w:basedOn w:val="Normal"/>
    <w:link w:val="BalloonTextChar"/>
    <w:rsid w:val="00C15ADB"/>
    <w:rPr>
      <w:rFonts w:ascii="Segoe UI" w:hAnsi="Segoe UI" w:cs="Segoe UI"/>
      <w:sz w:val="18"/>
      <w:szCs w:val="18"/>
    </w:rPr>
  </w:style>
  <w:style w:type="character" w:customStyle="1" w:styleId="BalloonTextChar">
    <w:name w:val="Balloon Text Char"/>
    <w:basedOn w:val="DefaultParagraphFont"/>
    <w:link w:val="BalloonText"/>
    <w:rsid w:val="00C15AD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ro" TargetMode="External"/><Relationship Id="rId4" Type="http://schemas.openxmlformats.org/officeDocument/2006/relationships/hyperlink" Target="https://www.echa.europa.eu/ro/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621B1-CB13-4428-865C-0E1AB2E37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2065</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2024-09-18T10:44:00Z</dcterms:created>
  <dcterms:modified xsi:type="dcterms:W3CDTF">2024-09-18T10:44:00Z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B10-0021/2024</vt:lpwstr>
  </property>
  <property fmtid="{D5CDD505-2E9C-101B-9397-08002B2CF9AE}" pid="4" name="&lt;Type&gt;">
    <vt:lpwstr>RR</vt:lpwstr>
  </property>
</Properties>
</file>