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5634" w:rsidTr="0010095E">
        <w:trPr>
          <w:trHeight w:hRule="exact" w:val="1418"/>
        </w:trPr>
        <w:tc>
          <w:tcPr>
            <w:tcW w:w="6804" w:type="dxa"/>
            <w:shd w:val="clear" w:color="auto" w:fill="auto"/>
            <w:vAlign w:val="center"/>
          </w:tcPr>
          <w:p w:rsidR="00751A4A" w:rsidRPr="00F85634" w:rsidRDefault="00D37DA5" w:rsidP="0010095E">
            <w:pPr>
              <w:pStyle w:val="EPName"/>
            </w:pPr>
            <w:r w:rsidRPr="00F85634">
              <w:t>Európsky parlament</w:t>
            </w:r>
          </w:p>
          <w:p w:rsidR="00751A4A" w:rsidRPr="00F85634" w:rsidRDefault="005F1B17" w:rsidP="005F1B17">
            <w:pPr>
              <w:pStyle w:val="EPTerm"/>
              <w:rPr>
                <w:rStyle w:val="HideTWBExt"/>
                <w:noProof w:val="0"/>
                <w:vanish w:val="0"/>
                <w:color w:val="auto"/>
              </w:rPr>
            </w:pPr>
            <w:r w:rsidRPr="00F85634">
              <w:t>2024</w:t>
            </w:r>
            <w:r w:rsidR="00817416" w:rsidRPr="00F85634">
              <w:t>-202</w:t>
            </w:r>
            <w:r w:rsidRPr="00F85634">
              <w:t>9</w:t>
            </w:r>
          </w:p>
        </w:tc>
        <w:tc>
          <w:tcPr>
            <w:tcW w:w="2268" w:type="dxa"/>
            <w:shd w:val="clear" w:color="auto" w:fill="auto"/>
          </w:tcPr>
          <w:p w:rsidR="00751A4A" w:rsidRPr="00F85634" w:rsidRDefault="00187494" w:rsidP="0010095E">
            <w:pPr>
              <w:pStyle w:val="EPLogo"/>
            </w:pPr>
            <w:r w:rsidRPr="00F8563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85634" w:rsidRDefault="00D058B8" w:rsidP="004C5D52">
      <w:pPr>
        <w:pStyle w:val="LineTop"/>
      </w:pPr>
    </w:p>
    <w:p w:rsidR="00680577" w:rsidRPr="00F85634" w:rsidRDefault="00D37DA5" w:rsidP="00680577">
      <w:pPr>
        <w:pStyle w:val="EPBodyTA1"/>
      </w:pPr>
      <w:r w:rsidRPr="00F85634">
        <w:t>PRIJATÉ TEXTY</w:t>
      </w:r>
    </w:p>
    <w:p w:rsidR="00D058B8" w:rsidRPr="00F85634" w:rsidRDefault="00D058B8" w:rsidP="00D058B8">
      <w:pPr>
        <w:pStyle w:val="LineBottom"/>
      </w:pPr>
    </w:p>
    <w:p w:rsidR="00D37DA5" w:rsidRPr="00F85634" w:rsidRDefault="00D37DA5" w:rsidP="00D37DA5">
      <w:pPr>
        <w:pStyle w:val="ATHeading1"/>
      </w:pPr>
      <w:bookmarkStart w:id="0" w:name="TANumber"/>
      <w:r w:rsidRPr="00F85634">
        <w:t>P10_TA(2024)000</w:t>
      </w:r>
      <w:r w:rsidR="00D41BBF" w:rsidRPr="00F85634">
        <w:t>7</w:t>
      </w:r>
      <w:bookmarkEnd w:id="0"/>
    </w:p>
    <w:p w:rsidR="00D37DA5" w:rsidRPr="00F85634" w:rsidRDefault="000670E5" w:rsidP="00D37DA5">
      <w:pPr>
        <w:pStyle w:val="ATHeading2"/>
      </w:pPr>
      <w:bookmarkStart w:id="1" w:name="title"/>
      <w:r w:rsidRPr="00F85634">
        <w:t xml:space="preserve">Námietka voči vykonávaciemu aktu: maximálne hladiny rezíduí </w:t>
      </w:r>
      <w:proofErr w:type="spellStart"/>
      <w:r w:rsidRPr="00F85634">
        <w:t>cyprokonazolu</w:t>
      </w:r>
      <w:bookmarkEnd w:id="1"/>
      <w:proofErr w:type="spellEnd"/>
    </w:p>
    <w:p w:rsidR="00D37DA5" w:rsidRPr="00F85634" w:rsidRDefault="00D37DA5" w:rsidP="00D37DA5">
      <w:pPr>
        <w:rPr>
          <w:i/>
          <w:vanish/>
        </w:rPr>
      </w:pPr>
      <w:r w:rsidRPr="00F85634">
        <w:rPr>
          <w:i/>
        </w:rPr>
        <w:fldChar w:fldCharType="begin"/>
      </w:r>
      <w:r w:rsidRPr="00F85634">
        <w:rPr>
          <w:i/>
        </w:rPr>
        <w:instrText xml:space="preserve"> TC"(</w:instrText>
      </w:r>
      <w:bookmarkStart w:id="2" w:name="DocNumber"/>
      <w:r w:rsidRPr="00F85634">
        <w:rPr>
          <w:i/>
        </w:rPr>
        <w:instrText>B10-0021/2024</w:instrText>
      </w:r>
      <w:bookmarkEnd w:id="2"/>
      <w:r w:rsidRPr="00F85634">
        <w:rPr>
          <w:i/>
        </w:rPr>
        <w:instrText xml:space="preserve">)"\l3 \n&gt; \* MERGEFORMAT </w:instrText>
      </w:r>
      <w:r w:rsidRPr="00F85634">
        <w:rPr>
          <w:i/>
        </w:rPr>
        <w:fldChar w:fldCharType="end"/>
      </w:r>
    </w:p>
    <w:p w:rsidR="00D37DA5" w:rsidRPr="00F85634" w:rsidRDefault="00D37DA5" w:rsidP="00D37DA5">
      <w:pPr>
        <w:rPr>
          <w:vanish/>
        </w:rPr>
      </w:pPr>
      <w:bookmarkStart w:id="3" w:name="PE"/>
      <w:r w:rsidRPr="00F85634">
        <w:rPr>
          <w:vanish/>
        </w:rPr>
        <w:t>PE763.091</w:t>
      </w:r>
      <w:bookmarkEnd w:id="3"/>
    </w:p>
    <w:p w:rsidR="00D37DA5" w:rsidRPr="00F85634" w:rsidRDefault="00D37DA5" w:rsidP="00D37DA5">
      <w:pPr>
        <w:pStyle w:val="ATHeading3"/>
      </w:pPr>
      <w:bookmarkStart w:id="4" w:name="Sujet"/>
      <w:r w:rsidRPr="00F85634">
        <w:t>Uznesenie Európskeho parlamentu z</w:t>
      </w:r>
      <w:r w:rsidR="000670E5" w:rsidRPr="00F85634">
        <w:t> 18</w:t>
      </w:r>
      <w:r w:rsidRPr="00F85634">
        <w:t xml:space="preserve">. septembra 2024 o návrhu nariadenia Komisie, ktorým sa menia prílohy II a III k nariadeniu Európskeho parlamentu a Rady (ES) č. 396/2005, pokiaľ ide o maximálne hladiny rezíduí </w:t>
      </w:r>
      <w:proofErr w:type="spellStart"/>
      <w:r w:rsidRPr="00F85634">
        <w:t>cyprokonazolu</w:t>
      </w:r>
      <w:proofErr w:type="spellEnd"/>
      <w:r w:rsidRPr="00F85634">
        <w:t xml:space="preserve"> a </w:t>
      </w:r>
      <w:proofErr w:type="spellStart"/>
      <w:r w:rsidRPr="00F85634">
        <w:t>spirodiklofénu</w:t>
      </w:r>
      <w:proofErr w:type="spellEnd"/>
      <w:r w:rsidRPr="00F85634">
        <w:t xml:space="preserve"> v určitých produktoch alebo na nich</w:t>
      </w:r>
      <w:bookmarkEnd w:id="4"/>
      <w:r w:rsidRPr="00F85634">
        <w:t xml:space="preserve"> </w:t>
      </w:r>
      <w:bookmarkStart w:id="5" w:name="References"/>
      <w:r w:rsidRPr="00F85634">
        <w:t>(D091952/05 – 2024/2759(RPS))</w:t>
      </w:r>
      <w:bookmarkEnd w:id="5"/>
    </w:p>
    <w:p w:rsidR="009F6EE7" w:rsidRPr="00F85634" w:rsidRDefault="009F6EE7" w:rsidP="009F6EE7">
      <w:pPr>
        <w:pStyle w:val="EPComma"/>
      </w:pPr>
      <w:bookmarkStart w:id="6" w:name="TextBodyBegin"/>
      <w:bookmarkEnd w:id="6"/>
      <w:r w:rsidRPr="00F85634">
        <w:rPr>
          <w:i/>
        </w:rPr>
        <w:t>Európsky parlament</w:t>
      </w:r>
      <w:r w:rsidRPr="00F85634">
        <w:t>,</w:t>
      </w:r>
    </w:p>
    <w:p w:rsidR="009F6EE7" w:rsidRPr="00F85634" w:rsidRDefault="009F6EE7" w:rsidP="009F6EE7">
      <w:pPr>
        <w:pStyle w:val="NormalHanging12a"/>
      </w:pPr>
      <w:r w:rsidRPr="00F85634">
        <w:t>–</w:t>
      </w:r>
      <w:r w:rsidRPr="00F85634">
        <w:tab/>
        <w:t xml:space="preserve">so zreteľom na návrh nariadenia Komisie, ktorým sa menia prílohy II a III k nariadeniu Európskeho parlamentu a Rady (ES) č. 396/2005, pokiaľ ide o maximálne hladiny rezíduí </w:t>
      </w:r>
      <w:proofErr w:type="spellStart"/>
      <w:r w:rsidRPr="00F85634">
        <w:t>cyprokonazolu</w:t>
      </w:r>
      <w:proofErr w:type="spellEnd"/>
      <w:r w:rsidRPr="00F85634">
        <w:t xml:space="preserve"> a </w:t>
      </w:r>
      <w:proofErr w:type="spellStart"/>
      <w:r w:rsidRPr="00F85634">
        <w:t>spirodiklofénu</w:t>
      </w:r>
      <w:proofErr w:type="spellEnd"/>
      <w:r w:rsidRPr="00F85634">
        <w:t xml:space="preserve"> v určitých produktoch alebo na nich (D091952/05),</w:t>
      </w:r>
    </w:p>
    <w:p w:rsidR="009F6EE7" w:rsidRPr="00F85634" w:rsidRDefault="009F6EE7" w:rsidP="009F6EE7">
      <w:pPr>
        <w:pStyle w:val="NormalHanging12a"/>
        <w:rPr>
          <w:szCs w:val="24"/>
        </w:rPr>
      </w:pPr>
      <w:r w:rsidRPr="00F85634">
        <w:t>–</w:t>
      </w:r>
      <w:r w:rsidRPr="00F85634">
        <w:tab/>
        <w:t>so zreteľom na nariadenie Európskeho parlamentu a Rady (ES) č. 396/2005 z 23. februára 2005 o maximálnych hladinách rezíduí pesticídov v alebo na potravinách a krmivách rastlinného a živočíšneho pôvodu a o zmene a doplnení smernice Rady 91/414/EHS</w:t>
      </w:r>
      <w:r w:rsidRPr="00F85634">
        <w:rPr>
          <w:rStyle w:val="FootnoteReference"/>
        </w:rPr>
        <w:footnoteReference w:id="1"/>
      </w:r>
      <w:r w:rsidRPr="00F85634">
        <w:t>, a najmä na jeho článok 14 ods. 1 písm. a) a článok 49 ods. 2,</w:t>
      </w:r>
    </w:p>
    <w:p w:rsidR="009F6EE7" w:rsidRPr="00F85634" w:rsidRDefault="009F6EE7" w:rsidP="009F6EE7">
      <w:pPr>
        <w:pStyle w:val="NormalHanging12a"/>
        <w:rPr>
          <w:szCs w:val="24"/>
        </w:rPr>
      </w:pPr>
      <w:r w:rsidRPr="00F85634">
        <w:t>–</w:t>
      </w:r>
      <w:r w:rsidRPr="00F85634">
        <w:tab/>
        <w:t>so zreteľom na nariadenie Európskeho parlamentu a Rady (ES) č. 1107/2009 z 21. októbra 2009 o uvádzaní prípravkov na ochranu rastlín na trh a o zrušení smerníc Rady 79/117/EHS a 91/414/EHS</w:t>
      </w:r>
      <w:r w:rsidRPr="00F85634">
        <w:rPr>
          <w:rStyle w:val="FootnoteReference"/>
          <w:szCs w:val="24"/>
        </w:rPr>
        <w:footnoteReference w:id="2"/>
      </w:r>
      <w:r w:rsidRPr="00F85634">
        <w:t xml:space="preserve">, a najmä na jeho článok 4 ods. 1 a článok 4 ods. 2 prvý </w:t>
      </w:r>
      <w:proofErr w:type="spellStart"/>
      <w:r w:rsidRPr="00F85634">
        <w:t>pododsek</w:t>
      </w:r>
      <w:proofErr w:type="spellEnd"/>
      <w:r w:rsidRPr="00F85634">
        <w:t xml:space="preserve"> písm. a) a bod 3.6.4 prílohy II,</w:t>
      </w:r>
    </w:p>
    <w:p w:rsidR="009F6EE7" w:rsidRPr="00F85634" w:rsidRDefault="009F6EE7" w:rsidP="009F6EE7">
      <w:pPr>
        <w:pStyle w:val="NormalHanging12a"/>
        <w:rPr>
          <w:szCs w:val="24"/>
        </w:rPr>
      </w:pPr>
      <w:r w:rsidRPr="00F85634">
        <w:t>–</w:t>
      </w:r>
      <w:r w:rsidRPr="00F85634">
        <w:tab/>
        <w:t>so zreteľom na nariadenie Európskeho parlamentu a Rady (ES) č. 178/2002 z 28. januára 2002, ktorým sa ustanovujú všeobecné zásady a požiadavky potravinového práva, zriaďuje Európsky úrad pre bezpečnosť potravín a stanovujú postupy v záležitostiach bezpečnosti potravín</w:t>
      </w:r>
      <w:r w:rsidRPr="00F85634">
        <w:rPr>
          <w:rStyle w:val="FootnoteReference"/>
          <w:szCs w:val="24"/>
        </w:rPr>
        <w:footnoteReference w:id="3"/>
      </w:r>
      <w:r w:rsidRPr="00F85634">
        <w:t>, a najmä na jeho článok 5 ods. 1,</w:t>
      </w:r>
    </w:p>
    <w:p w:rsidR="009F6EE7" w:rsidRPr="00F85634" w:rsidRDefault="009F6EE7" w:rsidP="009F6EE7">
      <w:pPr>
        <w:pStyle w:val="NormalHanging12a"/>
        <w:rPr>
          <w:szCs w:val="24"/>
        </w:rPr>
      </w:pPr>
      <w:r w:rsidRPr="00F85634">
        <w:t>–</w:t>
      </w:r>
      <w:r w:rsidRPr="00F85634">
        <w:tab/>
        <w:t>so zreteľom na články 11, 13, 168 a 191 Zmluvy o fungovaní Európskej únie (ďalej len „ZFEÚ“),</w:t>
      </w:r>
    </w:p>
    <w:p w:rsidR="009F6EE7" w:rsidRPr="00F85634" w:rsidRDefault="009F6EE7" w:rsidP="009F6EE7">
      <w:pPr>
        <w:pStyle w:val="NormalHanging12a"/>
      </w:pPr>
      <w:r w:rsidRPr="00F85634">
        <w:lastRenderedPageBreak/>
        <w:t>–</w:t>
      </w:r>
      <w:r w:rsidRPr="00F85634">
        <w:tab/>
        <w:t>so zreteľom na odôvodnené stanovisko prijaté Európskym úradom pre bezpečnosť potravín (ďalej len „EFSA“) 19. februára 2021 a uverejnené 22. marca 2021</w:t>
      </w:r>
      <w:r w:rsidRPr="00F85634">
        <w:rPr>
          <w:rStyle w:val="FootnoteReference"/>
          <w:szCs w:val="24"/>
        </w:rPr>
        <w:footnoteReference w:id="4"/>
      </w:r>
      <w:r w:rsidRPr="00F85634">
        <w:t>,</w:t>
      </w:r>
    </w:p>
    <w:p w:rsidR="009F6EE7" w:rsidRPr="00F85634" w:rsidRDefault="009F6EE7" w:rsidP="009F6EE7">
      <w:pPr>
        <w:pStyle w:val="NormalHanging12a"/>
        <w:rPr>
          <w:szCs w:val="24"/>
        </w:rPr>
      </w:pPr>
      <w:r w:rsidRPr="00F85634">
        <w:t>–</w:t>
      </w:r>
      <w:r w:rsidRPr="00F85634">
        <w:tab/>
        <w:t>so zreteľom na záver k partnerskému preskúmaniu pesticídov, ktorý bol schválený EFSA 8. novembra 2010 a bol uverejnený 25. novembra 2010</w:t>
      </w:r>
      <w:r w:rsidRPr="00F85634">
        <w:rPr>
          <w:rStyle w:val="FootnoteReference"/>
        </w:rPr>
        <w:footnoteReference w:id="5"/>
      </w:r>
      <w:r w:rsidRPr="00F85634">
        <w:t>,</w:t>
      </w:r>
    </w:p>
    <w:p w:rsidR="009F6EE7" w:rsidRPr="00F85634" w:rsidRDefault="009F6EE7" w:rsidP="009F6EE7">
      <w:pPr>
        <w:pStyle w:val="NormalHanging12a"/>
        <w:rPr>
          <w:szCs w:val="24"/>
        </w:rPr>
      </w:pPr>
      <w:r w:rsidRPr="00F85634">
        <w:t>–</w:t>
      </w:r>
      <w:r w:rsidRPr="00F85634">
        <w:tab/>
        <w:t>so zreteľom na stanovisko prijaté Výborom pre hodnotenie rizík Európskej chemickej agentúry 11. septembra 2015</w:t>
      </w:r>
      <w:r w:rsidRPr="00F85634">
        <w:rPr>
          <w:rStyle w:val="FootnoteReference"/>
          <w:szCs w:val="24"/>
        </w:rPr>
        <w:footnoteReference w:id="6"/>
      </w:r>
      <w:r w:rsidRPr="00F85634">
        <w:t>,</w:t>
      </w:r>
    </w:p>
    <w:p w:rsidR="009F6EE7" w:rsidRPr="00F85634" w:rsidRDefault="009F6EE7" w:rsidP="009F6EE7">
      <w:pPr>
        <w:pStyle w:val="NormalHanging12a"/>
      </w:pPr>
      <w:r w:rsidRPr="00F85634">
        <w:t>–</w:t>
      </w:r>
      <w:r w:rsidRPr="00F85634">
        <w:tab/>
        <w:t>so zreteľom na článok 5a ods. 3 písm. b) a článok 5a ods. 5 rozhodnutia Rady 1999/468/ES z 28. júna 1999, ktorým sa ustanovujú postupy pre výkon vykonávacích právomocí prenesených na Komisiu</w:t>
      </w:r>
      <w:r w:rsidRPr="00F85634">
        <w:rPr>
          <w:rStyle w:val="FootnoteReference"/>
        </w:rPr>
        <w:footnoteReference w:id="7"/>
      </w:r>
      <w:r w:rsidRPr="00F85634">
        <w:t>,</w:t>
      </w:r>
    </w:p>
    <w:p w:rsidR="009F6EE7" w:rsidRPr="00F85634" w:rsidRDefault="009F6EE7" w:rsidP="009F6EE7">
      <w:pPr>
        <w:pStyle w:val="NormalHanging12a"/>
      </w:pPr>
      <w:r w:rsidRPr="00F85634">
        <w:t>–</w:t>
      </w:r>
      <w:r w:rsidRPr="00F85634">
        <w:tab/>
        <w:t>so zreteľom na článok 115 ods. 2 a 3 a 4 písm. c) rokovacieho poriadku,</w:t>
      </w:r>
    </w:p>
    <w:p w:rsidR="009F6EE7" w:rsidRPr="00F85634" w:rsidRDefault="009F6EE7" w:rsidP="009F6EE7">
      <w:pPr>
        <w:pStyle w:val="NormalHanging12a"/>
      </w:pPr>
      <w:r w:rsidRPr="00F85634">
        <w:t>–</w:t>
      </w:r>
      <w:r w:rsidRPr="00F85634">
        <w:tab/>
        <w:t>so zreteľom na návrh uznesenia Výboru pre životné prostredie, verejné zdravie a bezpečnosť potravín,</w:t>
      </w:r>
    </w:p>
    <w:p w:rsidR="009F6EE7" w:rsidRPr="00F85634" w:rsidRDefault="009F6EE7" w:rsidP="009F6EE7">
      <w:pPr>
        <w:pStyle w:val="NormalHanging12a"/>
      </w:pPr>
      <w:r w:rsidRPr="00F85634">
        <w:t>A.</w:t>
      </w:r>
      <w:r w:rsidRPr="00F85634">
        <w:tab/>
        <w:t>keďže protesty poľnohospodárov, ktoré sa uskutočnili v prvom polroku 2024, mali ako jednu zo svojich hlavných požiadaviek spravodlivé a rovnaké zaobchádzanie s výrobkami dovážanými z tretích krajín, ktoré by sa mali riadiť rovnakými normami ako výrobky vyrábané v Únii;</w:t>
      </w:r>
    </w:p>
    <w:p w:rsidR="009F6EE7" w:rsidRPr="00F85634" w:rsidRDefault="009F6EE7" w:rsidP="009F6EE7">
      <w:pPr>
        <w:pStyle w:val="NormalHanging12a"/>
      </w:pPr>
      <w:r w:rsidRPr="00F85634">
        <w:t>B.</w:t>
      </w:r>
      <w:r w:rsidRPr="00F85634">
        <w:tab/>
        <w:t>keďže prijatie návrhu nariadenia Komisie by umožnilo pokračovať v dovoze do Únie, ktorý nie je v súlade s normami, ktoré poľnohospodári Únie dodržiavajú;</w:t>
      </w:r>
    </w:p>
    <w:p w:rsidR="009F6EE7" w:rsidRPr="00F85634" w:rsidRDefault="009F6EE7" w:rsidP="009F6EE7">
      <w:pPr>
        <w:pStyle w:val="NormalHanging12a"/>
      </w:pPr>
      <w:r w:rsidRPr="00F85634">
        <w:t>C.</w:t>
      </w:r>
      <w:r w:rsidRPr="00F85634">
        <w:tab/>
        <w:t>keďže takáto situácia by poľnohospodárov Únie v hospodárskej súťaži znevýhodnila;</w:t>
      </w:r>
    </w:p>
    <w:p w:rsidR="009F6EE7" w:rsidRPr="00F85634" w:rsidRDefault="009F6EE7" w:rsidP="009F6EE7">
      <w:pPr>
        <w:pStyle w:val="NormalHanging12a"/>
      </w:pPr>
      <w:r w:rsidRPr="00F85634">
        <w:t>D.</w:t>
      </w:r>
      <w:r w:rsidRPr="00F85634">
        <w:tab/>
        <w:t xml:space="preserve">keďže </w:t>
      </w:r>
      <w:proofErr w:type="spellStart"/>
      <w:r w:rsidRPr="00F85634">
        <w:t>cyprokonazol</w:t>
      </w:r>
      <w:proofErr w:type="spellEnd"/>
      <w:r w:rsidRPr="00F85634">
        <w:t xml:space="preserve"> je </w:t>
      </w:r>
      <w:proofErr w:type="spellStart"/>
      <w:r w:rsidRPr="00F85634">
        <w:t>fungicíd</w:t>
      </w:r>
      <w:proofErr w:type="spellEnd"/>
      <w:r w:rsidRPr="00F85634">
        <w:t xml:space="preserve"> triedy </w:t>
      </w:r>
      <w:proofErr w:type="spellStart"/>
      <w:r w:rsidRPr="00F85634">
        <w:t>azolov</w:t>
      </w:r>
      <w:proofErr w:type="spellEnd"/>
      <w:r w:rsidRPr="00F85634">
        <w:t>, ktorý sa používa najmä na obilné plodiny, kávu, cukrovú repu, jablká, hrozno a arašidy;</w:t>
      </w:r>
    </w:p>
    <w:p w:rsidR="009F6EE7" w:rsidRPr="00F85634" w:rsidRDefault="009F6EE7" w:rsidP="009F6EE7">
      <w:pPr>
        <w:pStyle w:val="NormalHanging12a"/>
      </w:pPr>
      <w:r w:rsidRPr="00F85634">
        <w:t>E.</w:t>
      </w:r>
      <w:r w:rsidRPr="00F85634">
        <w:tab/>
        <w:t xml:space="preserve">keďže platnosť schválenia účinnej látky </w:t>
      </w:r>
      <w:proofErr w:type="spellStart"/>
      <w:r w:rsidRPr="00F85634">
        <w:t>cyprokonazol</w:t>
      </w:r>
      <w:proofErr w:type="spellEnd"/>
      <w:r w:rsidRPr="00F85634">
        <w:t xml:space="preserve"> uplynula 31. mája 2021; keďže žiadosť o obnovenie bola podaná v septembri 2018, ale v decembri 2018 bola stiahnutá; keďže všetky autorizácie prípravkov na ochranu rastlín s obsahom </w:t>
      </w:r>
      <w:proofErr w:type="spellStart"/>
      <w:r w:rsidRPr="00F85634">
        <w:t>cyprokonazolu</w:t>
      </w:r>
      <w:proofErr w:type="spellEnd"/>
      <w:r w:rsidRPr="00F85634">
        <w:t xml:space="preserve"> boli zrušené;</w:t>
      </w:r>
    </w:p>
    <w:p w:rsidR="009F6EE7" w:rsidRPr="00F85634" w:rsidRDefault="009F6EE7" w:rsidP="009F6EE7">
      <w:pPr>
        <w:pStyle w:val="NormalHanging12a"/>
      </w:pPr>
      <w:r w:rsidRPr="00F85634">
        <w:t>F.</w:t>
      </w:r>
      <w:r w:rsidRPr="00F85634">
        <w:tab/>
        <w:t xml:space="preserve">keďže </w:t>
      </w:r>
      <w:proofErr w:type="spellStart"/>
      <w:r w:rsidRPr="00F85634">
        <w:t>cyprokonazol</w:t>
      </w:r>
      <w:proofErr w:type="spellEnd"/>
      <w:r w:rsidRPr="00F85634">
        <w:t xml:space="preserve"> je klasifikovaný v súlade s nariadením Európskeho parlamentu a </w:t>
      </w:r>
      <w:r w:rsidRPr="00F85634">
        <w:lastRenderedPageBreak/>
        <w:t>Rady (ES) č. 1272/2008</w:t>
      </w:r>
      <w:r w:rsidRPr="00F85634">
        <w:rPr>
          <w:rStyle w:val="FootnoteReference"/>
        </w:rPr>
        <w:footnoteReference w:id="8"/>
      </w:r>
      <w:r w:rsidRPr="00F85634">
        <w:t xml:space="preserve"> ako reprodukčne toxická látka kategórie 1B, toxický pri požití (akútna toxicita 3), toxický pre pečeň (STOT RE 2), ako aj veľmi toxický pre vodné organizmy (akútna vodná toxicita 1) a veľmi toxický pre vodné organizmy s dlhodobými účinkami (chronická vodná toxicita 1)</w:t>
      </w:r>
      <w:r w:rsidRPr="00F85634">
        <w:rPr>
          <w:rStyle w:val="FootnoteReference"/>
        </w:rPr>
        <w:footnoteReference w:id="9"/>
      </w:r>
      <w:r w:rsidRPr="00F85634">
        <w:t>;</w:t>
      </w:r>
    </w:p>
    <w:p w:rsidR="009F6EE7" w:rsidRPr="00F85634" w:rsidRDefault="009F6EE7" w:rsidP="009F6EE7">
      <w:pPr>
        <w:pStyle w:val="NormalHanging12a"/>
      </w:pPr>
      <w:r w:rsidRPr="00F85634">
        <w:t>G.</w:t>
      </w:r>
      <w:r w:rsidRPr="00F85634">
        <w:tab/>
        <w:t xml:space="preserve">keďže </w:t>
      </w:r>
      <w:proofErr w:type="spellStart"/>
      <w:r w:rsidRPr="00F85634">
        <w:t>cyprokonazol</w:t>
      </w:r>
      <w:proofErr w:type="spellEnd"/>
      <w:r w:rsidRPr="00F85634">
        <w:t xml:space="preserve"> patrí do skupiny </w:t>
      </w:r>
      <w:proofErr w:type="spellStart"/>
      <w:r w:rsidRPr="00F85634">
        <w:t>triazolov</w:t>
      </w:r>
      <w:proofErr w:type="spellEnd"/>
      <w:r w:rsidRPr="00F85634">
        <w:t xml:space="preserve"> blokujúcich </w:t>
      </w:r>
      <w:proofErr w:type="spellStart"/>
      <w:r w:rsidRPr="00F85634">
        <w:t>biosyntézu</w:t>
      </w:r>
      <w:proofErr w:type="spellEnd"/>
      <w:r w:rsidRPr="00F85634">
        <w:t xml:space="preserve"> </w:t>
      </w:r>
      <w:proofErr w:type="spellStart"/>
      <w:r w:rsidRPr="00F85634">
        <w:t>ergosterolu</w:t>
      </w:r>
      <w:proofErr w:type="spellEnd"/>
      <w:r w:rsidRPr="00F85634">
        <w:t>, a preto môže spôsobovať narúšanie endokrinného systému</w:t>
      </w:r>
      <w:r w:rsidRPr="00F85634">
        <w:rPr>
          <w:rStyle w:val="FootnoteReference"/>
        </w:rPr>
        <w:footnoteReference w:id="10"/>
      </w:r>
      <w:r w:rsidRPr="00F85634">
        <w:t>; keďže úrad EFSA neposúdil jeho potenciál narúšať endokrinný systém podľa vedeckých kritérií určovania vlastností narúšajúcich endokrinný systém stanovených v nariadení Komisie (EÚ) 2018/605</w:t>
      </w:r>
      <w:r w:rsidRPr="00F85634">
        <w:rPr>
          <w:rStyle w:val="FootnoteReference"/>
        </w:rPr>
        <w:footnoteReference w:id="11"/>
      </w:r>
      <w:r w:rsidRPr="00F85634">
        <w:t>, ktoré sa uplatňuje od 10. novembra 2018; keďže účinky týkajúce sa endokrinného systému sa často prejavujú pri nízkych dávkach a látky narúšajúce endokrinný systém často nemajú bezpečnú prahovú hodnotu</w:t>
      </w:r>
      <w:r w:rsidRPr="00F85634">
        <w:rPr>
          <w:rStyle w:val="FootnoteReference"/>
        </w:rPr>
        <w:footnoteReference w:id="12"/>
      </w:r>
      <w:r w:rsidRPr="00F85634">
        <w:t>;</w:t>
      </w:r>
    </w:p>
    <w:p w:rsidR="009F6EE7" w:rsidRPr="00F85634" w:rsidRDefault="009F6EE7" w:rsidP="009F6EE7">
      <w:pPr>
        <w:pStyle w:val="NormalHanging12a"/>
      </w:pPr>
      <w:r w:rsidRPr="00F85634">
        <w:t>H.</w:t>
      </w:r>
      <w:r w:rsidRPr="00F85634">
        <w:tab/>
        <w:t xml:space="preserve">keďže čoraz väčší počet publikácií zdôrazňuje, že </w:t>
      </w:r>
      <w:proofErr w:type="spellStart"/>
      <w:r w:rsidRPr="00F85634">
        <w:t>azolové</w:t>
      </w:r>
      <w:proofErr w:type="spellEnd"/>
      <w:r w:rsidRPr="00F85634">
        <w:t xml:space="preserve"> </w:t>
      </w:r>
      <w:proofErr w:type="spellStart"/>
      <w:r w:rsidRPr="00F85634">
        <w:t>fungicídy</w:t>
      </w:r>
      <w:proofErr w:type="spellEnd"/>
      <w:r w:rsidRPr="00F85634">
        <w:t xml:space="preserve"> sú významnou príčinou rastúceho výskytu environmentálnej rezistencie týkajúcej sa druhu </w:t>
      </w:r>
      <w:proofErr w:type="spellStart"/>
      <w:r w:rsidRPr="00F85634">
        <w:t>Aspergillus</w:t>
      </w:r>
      <w:proofErr w:type="spellEnd"/>
      <w:r w:rsidRPr="00F85634">
        <w:t xml:space="preserve"> </w:t>
      </w:r>
      <w:proofErr w:type="spellStart"/>
      <w:r w:rsidRPr="00F85634">
        <w:t>spp</w:t>
      </w:r>
      <w:proofErr w:type="spellEnd"/>
      <w:r w:rsidRPr="00F85634">
        <w:rPr>
          <w:rStyle w:val="FootnoteReference"/>
        </w:rPr>
        <w:footnoteReference w:id="13"/>
      </w:r>
      <w:r w:rsidRPr="00F85634">
        <w:t xml:space="preserve">; keďže Komisia požiadala EFSA, aby posúdil vplyv používania </w:t>
      </w:r>
      <w:proofErr w:type="spellStart"/>
      <w:r w:rsidRPr="00F85634">
        <w:t>azolových</w:t>
      </w:r>
      <w:proofErr w:type="spellEnd"/>
      <w:r w:rsidRPr="00F85634">
        <w:t xml:space="preserve"> </w:t>
      </w:r>
      <w:proofErr w:type="spellStart"/>
      <w:r w:rsidRPr="00F85634">
        <w:t>fungicídov</w:t>
      </w:r>
      <w:proofErr w:type="spellEnd"/>
      <w:r w:rsidRPr="00F85634">
        <w:t xml:space="preserve">, iných ako humánnych liekov, na vývoj druhov </w:t>
      </w:r>
      <w:proofErr w:type="spellStart"/>
      <w:r w:rsidRPr="00F85634">
        <w:t>Aspergillus</w:t>
      </w:r>
      <w:proofErr w:type="spellEnd"/>
      <w:r w:rsidRPr="00F85634">
        <w:t xml:space="preserve"> </w:t>
      </w:r>
      <w:proofErr w:type="spellStart"/>
      <w:r w:rsidRPr="00F85634">
        <w:t>spp</w:t>
      </w:r>
      <w:proofErr w:type="spellEnd"/>
      <w:r w:rsidRPr="00F85634">
        <w:t xml:space="preserve">. rezistentných voči </w:t>
      </w:r>
      <w:proofErr w:type="spellStart"/>
      <w:r w:rsidRPr="00F85634">
        <w:t>azolu</w:t>
      </w:r>
      <w:proofErr w:type="spellEnd"/>
      <w:r w:rsidRPr="00F85634">
        <w:t>; keďže požadovaná vedecká správa ešte nebola uverejnená a jej dokončenie sa očakáva až v decembri 2024</w:t>
      </w:r>
      <w:r w:rsidRPr="00F85634">
        <w:rPr>
          <w:rStyle w:val="FootnoteReference"/>
        </w:rPr>
        <w:footnoteReference w:id="14"/>
      </w:r>
      <w:r w:rsidRPr="00F85634">
        <w:t>;</w:t>
      </w:r>
    </w:p>
    <w:p w:rsidR="009F6EE7" w:rsidRPr="00F85634" w:rsidRDefault="009F6EE7" w:rsidP="009F6EE7">
      <w:pPr>
        <w:pStyle w:val="NormalHanging12a"/>
      </w:pPr>
      <w:r w:rsidRPr="00F85634">
        <w:rPr>
          <w:color w:val="000000" w:themeColor="text1"/>
        </w:rPr>
        <w:lastRenderedPageBreak/>
        <w:t>I.</w:t>
      </w:r>
      <w:r w:rsidRPr="00F85634">
        <w:rPr>
          <w:color w:val="000000" w:themeColor="text1"/>
        </w:rPr>
        <w:tab/>
      </w:r>
      <w:r w:rsidRPr="00F85634">
        <w:t xml:space="preserve">keďže je preto vhodné vypustiť existujúce maximálne hladiny rezíduí (MRL) stanovené pre </w:t>
      </w:r>
      <w:proofErr w:type="spellStart"/>
      <w:r w:rsidRPr="00F85634">
        <w:t>cyprokonazol</w:t>
      </w:r>
      <w:proofErr w:type="spellEnd"/>
      <w:r w:rsidRPr="00F85634">
        <w:t xml:space="preserve"> v prílohe II k nariadeniu (ES) č. 396/2005 v súlade s článkom 17 uvedeného nariadenia, podľa ktorého má Komisia vypustiť MRL, ktoré sú stanovené v prílohách II a III k uvedenému nariadeniu, na štandardnú hodnotu 0,01 mg/kg alebo príslušný kvantifikačný limit bez vyžiadania stanoviska EFSA pre účinnú látku, ak bolo jeho povolenie zrušené;</w:t>
      </w:r>
    </w:p>
    <w:p w:rsidR="009F6EE7" w:rsidRPr="00F85634" w:rsidRDefault="009F6EE7" w:rsidP="009F6EE7">
      <w:pPr>
        <w:pStyle w:val="NormalHanging12a"/>
      </w:pPr>
      <w:r w:rsidRPr="00F85634">
        <w:t>J.</w:t>
      </w:r>
      <w:r w:rsidRPr="00F85634">
        <w:tab/>
        <w:t xml:space="preserve">keďže však Komisia v návrhu nariadenia Komisie navrhuje zachovať MRL veľkého množstva produktov (obilniny, semená, mäso, pečeň a obličky) nad príslušným kvantifikačným limitom alebo štandardnou hodnotou MRL 0,01 mg/kg na základe MRL stanovených Komisiou pre </w:t>
      </w:r>
      <w:proofErr w:type="spellStart"/>
      <w:r w:rsidRPr="00F85634">
        <w:t>Codex</w:t>
      </w:r>
      <w:proofErr w:type="spellEnd"/>
      <w:r w:rsidRPr="00F85634">
        <w:t xml:space="preserve"> </w:t>
      </w:r>
      <w:proofErr w:type="spellStart"/>
      <w:r w:rsidRPr="00F85634">
        <w:t>Alimentarius</w:t>
      </w:r>
      <w:proofErr w:type="spellEnd"/>
      <w:r w:rsidRPr="00F85634">
        <w:t xml:space="preserve"> (hodnoty CXL);</w:t>
      </w:r>
    </w:p>
    <w:p w:rsidR="009F6EE7" w:rsidRPr="00F85634" w:rsidRDefault="009F6EE7" w:rsidP="009F6EE7">
      <w:pPr>
        <w:pStyle w:val="NormalHanging12a"/>
      </w:pPr>
      <w:r w:rsidRPr="00F85634">
        <w:t>K.</w:t>
      </w:r>
      <w:r w:rsidRPr="00F85634">
        <w:tab/>
      </w:r>
      <w:r w:rsidRPr="00F85634">
        <w:rPr>
          <w:color w:val="000000" w:themeColor="text1"/>
        </w:rPr>
        <w:t xml:space="preserve">keďže Komisia navrhuje stanoviť MRL na úrovni hodnôt CXL pre hrach (bez strukov), fazuľu, hrach, jačmeň, pohánku a iné </w:t>
      </w:r>
      <w:proofErr w:type="spellStart"/>
      <w:r w:rsidRPr="00F85634">
        <w:rPr>
          <w:color w:val="000000" w:themeColor="text1"/>
        </w:rPr>
        <w:t>pseudoobilniny</w:t>
      </w:r>
      <w:proofErr w:type="spellEnd"/>
      <w:r w:rsidRPr="00F85634">
        <w:rPr>
          <w:color w:val="000000" w:themeColor="text1"/>
        </w:rPr>
        <w:t>, kukuricu, proso, ovos, raž, pšenicu, kávové zrná a korene cukrovej repy, svalovinu a tuk ošípaných, hovädzieho dobytka, oviec, kôz a koní a svalovinu, tuk a pečeň hydiny, mlieko hovädzieho dobytka, oviec, kôz a koní a vtáčie vajcia; keďže to znamená, že MRL pre pečeň a obličky ošípaných, hovädzieho dobytka, oviec, kôz a koní by sa udržiavali na súčasných úrovniach 0,5 mg/kg, v prípade semien repky olejnej 0,4 mg/kg a v prípade sójových bôbov 0,07 mg/kg; keďže v prípade všetkých ostatných produktov, pre ktoré neexistujú hodnoty CXL ani dovozné tolerancie, sa MRL znižujú na kvantifikačné limity špecifické pre daný produkt, ktoré sa pohybujú od 0,01 do 0,05 mg/kg;</w:t>
      </w:r>
    </w:p>
    <w:p w:rsidR="009F6EE7" w:rsidRPr="00F85634" w:rsidRDefault="009F6EE7" w:rsidP="009F6EE7">
      <w:pPr>
        <w:pStyle w:val="NormalHanging12a"/>
      </w:pPr>
      <w:r w:rsidRPr="00F85634">
        <w:t>L.</w:t>
      </w:r>
      <w:r w:rsidRPr="00F85634">
        <w:tab/>
        <w:t xml:space="preserve">keďže v roku 2024 Komisia znížila MRL </w:t>
      </w:r>
      <w:proofErr w:type="spellStart"/>
      <w:r w:rsidRPr="00F85634">
        <w:t>tiaklopridu</w:t>
      </w:r>
      <w:proofErr w:type="spellEnd"/>
      <w:r w:rsidRPr="00F85634">
        <w:t>, účinnej látky klasifikovanej ako reprodukčne toxická kategórie 1B, na príslušný kvantifikačný limit, pričom tvrdila, že „dovtedy, kým úrad nevypracuje závery tohto dodatočného posúdenia rizika [v súvislosti s účinkami súvisiacimi s endokrinným systémom], a vzhľadom na dostupné relevantné informácie, pokiaľ ide o potenciálne škodlivé účinky na ľudské zdravie, je vhodné dočasne znížiť MRL</w:t>
      </w:r>
      <w:r w:rsidR="00D72D6C" w:rsidRPr="00F85634">
        <w:t xml:space="preserve"> </w:t>
      </w:r>
      <w:r w:rsidRPr="00F85634">
        <w:t>... [pre tieto výrobky]“</w:t>
      </w:r>
      <w:r w:rsidRPr="00F85634">
        <w:rPr>
          <w:rStyle w:val="FootnoteReference"/>
        </w:rPr>
        <w:footnoteReference w:id="15"/>
      </w:r>
      <w:r w:rsidRPr="00F85634">
        <w:t>;</w:t>
      </w:r>
    </w:p>
    <w:p w:rsidR="009F6EE7" w:rsidRPr="00F85634" w:rsidRDefault="009F6EE7" w:rsidP="009F6EE7">
      <w:pPr>
        <w:pStyle w:val="NormalHanging12a"/>
      </w:pPr>
      <w:r w:rsidRPr="00F85634">
        <w:t>M.</w:t>
      </w:r>
      <w:r w:rsidRPr="00F85634">
        <w:tab/>
        <w:t xml:space="preserve">keďže v nariadení (ES) č. 396/2005 sa v odôvodnení 5 stanovuje, že prítomnosť rezíduí by nemala dosahovať úrovne predstavujúce neprijateľné riziko pre ľudí a v relevantných prípadoch aj pre zvieratá; </w:t>
      </w:r>
    </w:p>
    <w:p w:rsidR="009F6EE7" w:rsidRPr="00F85634" w:rsidRDefault="009F6EE7" w:rsidP="009F6EE7">
      <w:pPr>
        <w:pStyle w:val="NormalHanging12a"/>
      </w:pPr>
      <w:r w:rsidRPr="00F85634">
        <w:t>N.</w:t>
      </w:r>
      <w:r w:rsidRPr="00F85634">
        <w:tab/>
        <w:t xml:space="preserve">keďže v článku 4 ods. 2 prvom </w:t>
      </w:r>
      <w:proofErr w:type="spellStart"/>
      <w:r w:rsidRPr="00F85634">
        <w:t>pododseku</w:t>
      </w:r>
      <w:proofErr w:type="spellEnd"/>
      <w:r w:rsidRPr="00F85634">
        <w:t xml:space="preserve"> písm. a) nariadenia (ES) č. 1107/2009 sa stanovuje, že rezíduá prípravkov na ochranu rastlín nemajú žiadny škodlivý účinok na zdravie ľudí vrátane zraniteľných skupín alebo na zdravie zvierat pri zohľadnení známych kumulatívnych a synergických účinkov; keďže v bode 3.6.4 prílohy II k uvedenému nariadeniu sa stanovuje, že účinná látka klasifikovaná v súlade s nariadením (ES) č. 1272/2008 ako reprodukčne toxická kategórie 1A alebo 1B sa neschváli s výnimkou prípadu, keď „rezíduá príslušnej účinnej látky [...] v potravinách a krmive neprekračujú štandardné hodnoty stanovené v súlade s článkom 18 ods. 1 písm. b) nariadenia (ES) č. 396/2005“; keďže v článku 18 ods. 1 písm. b) nariadenia (ES) č. 396/2005 sa stanovuje štandardná hodnota 0,01 mg/kg;</w:t>
      </w:r>
    </w:p>
    <w:p w:rsidR="009F6EE7" w:rsidRPr="00F85634" w:rsidRDefault="009F6EE7" w:rsidP="009F6EE7">
      <w:pPr>
        <w:pStyle w:val="NormalHanging12a"/>
      </w:pPr>
      <w:r w:rsidRPr="00F85634">
        <w:t>O.</w:t>
      </w:r>
      <w:r w:rsidRPr="00F85634">
        <w:tab/>
        <w:t xml:space="preserve">keďže v článku 3 ods. 2 písm. g) nariadenia (ES) č. 396/2005 sa uvádza, že dovozná tolerancia znamená MRL stanovenú pre dovážané výrobky, pokiaľ „nie je používanie aktívnej látky v prípravku na ochranu rastlín pre daný výrobok povolené v Spoločenstve </w:t>
      </w:r>
      <w:r w:rsidRPr="00F85634">
        <w:lastRenderedPageBreak/>
        <w:t xml:space="preserve">z iných dôvodov ako dôvodov verejného zdravia v súvislosti so špecifickým výrobkom a špecifickým používaním“; keďže </w:t>
      </w:r>
      <w:proofErr w:type="spellStart"/>
      <w:r w:rsidRPr="00F85634">
        <w:t>cyprokonazol</w:t>
      </w:r>
      <w:proofErr w:type="spellEnd"/>
      <w:r w:rsidRPr="00F85634">
        <w:t xml:space="preserve"> tieto kritériá nespĺňa, pretože bol zakázaný zo zdravotných dôvodov, keďže je klasifikovaný ako reprodukčne toxická látka kategórie 1B;</w:t>
      </w:r>
    </w:p>
    <w:p w:rsidR="009F6EE7" w:rsidRPr="00F85634" w:rsidRDefault="009F6EE7" w:rsidP="009F6EE7">
      <w:pPr>
        <w:pStyle w:val="NormalHanging12a"/>
      </w:pPr>
      <w:r w:rsidRPr="00F85634">
        <w:t>P.</w:t>
      </w:r>
      <w:r w:rsidRPr="00F85634">
        <w:tab/>
        <w:t>keďže v článku 5 ods. 1 nariadenia (ES) č. 178/2002 sa stanovuje, že potravinovým právom sa má sledovať jeden alebo viacero všeobecných cieľov vysokej úrovne ochrany života a zdravia ľudí a ochrany záujmov spotrebiteľa, vrátane čestných postupov v obchode s potravinami, berúc do úvahy, ak to bude potrebné, ochranu zdravia zvierat, dobrých životných podmienok zvierat, zdravia rastlín a životného prostredia;</w:t>
      </w:r>
    </w:p>
    <w:p w:rsidR="009F6EE7" w:rsidRPr="00F85634" w:rsidRDefault="009F6EE7" w:rsidP="009F6EE7">
      <w:pPr>
        <w:pStyle w:val="NormalHanging12a"/>
      </w:pPr>
      <w:r w:rsidRPr="00F85634">
        <w:t>Q.</w:t>
      </w:r>
      <w:r w:rsidRPr="00F85634">
        <w:tab/>
        <w:t>keďže Komisia vo svojom oznámení z 20. mája 2020 s názvom stratégia Z farmy na stôl v záujme spravodlivého, zdravého potravinového systému šetrného k životnému prostrediu</w:t>
      </w:r>
      <w:r w:rsidRPr="00F85634">
        <w:rPr>
          <w:rStyle w:val="FootnoteReference"/>
        </w:rPr>
        <w:footnoteReference w:id="16"/>
      </w:r>
      <w:r w:rsidRPr="00F85634">
        <w:t xml:space="preserve"> oznámila, že „EÚ bude podporovať celosvetový prechod na udržateľné </w:t>
      </w:r>
      <w:proofErr w:type="spellStart"/>
      <w:r w:rsidRPr="00F85634">
        <w:t>agropotravinové</w:t>
      </w:r>
      <w:proofErr w:type="spellEnd"/>
      <w:r w:rsidRPr="00F85634">
        <w:t xml:space="preserve"> systémy v súlade s cieľmi tejto stratégie a cieľmi udržateľného rozvoja“ a že „EÚ môže pomocou tejto stratégie zohrávať kľúčovú úlohu pri určovaní svetových štandardov“; keďže Komisia v stratégii výslovne uviedla, že „predpokladom udržateľnejšieho potravinového systému EÚ je, aby aj naši obchodní partneri prechádzali na čoraz väčšmi udržateľné postupy. EÚ so zámerom podporovať postupný prechod na používanie bezpečnejších prípravkov na ochranu rastlín zváži (v súlade s pravidlami WTO a na základe posúdenia rizík) preskúmanie dovozných tolerancií na látky, ktoré spĺňajú „hraničné kritériá“ a predstavujú vysoký stupeň rizika pre ľudské zdravie“;</w:t>
      </w:r>
    </w:p>
    <w:p w:rsidR="009F6EE7" w:rsidRPr="00F85634" w:rsidRDefault="009F6EE7" w:rsidP="009F6EE7">
      <w:pPr>
        <w:pStyle w:val="NormalHanging12a"/>
      </w:pPr>
      <w:r w:rsidRPr="00F85634">
        <w:t>R.</w:t>
      </w:r>
      <w:r w:rsidRPr="00F85634">
        <w:tab/>
        <w:t xml:space="preserve">keďže prax stanovovania vysokých MRL podporuje dvojitý štandard medzi poľnohospodármi Únie a poľnohospodármi v tretích krajinách, pretože poľnohospodári z krajín mimo Únie môžu naďalej vyrábať príslušné potraviny, pri ktorých výrobe používajú </w:t>
      </w:r>
      <w:proofErr w:type="spellStart"/>
      <w:r w:rsidRPr="00F85634">
        <w:t>cyprokonazol</w:t>
      </w:r>
      <w:proofErr w:type="spellEnd"/>
      <w:r w:rsidRPr="00F85634">
        <w:t>, a vyvážať ich do Únie, čo stavia poľnohospodárov z Únie do konkurenčnej nevýhody; keďže na druhej strane používanie tohto pesticídu ohrozuje zdravie poľnohospodárskych pracovníkov, zdravie bežného obyvateľstva a životné prostredie v producentských krajinách;</w:t>
      </w:r>
    </w:p>
    <w:p w:rsidR="009F6EE7" w:rsidRPr="00F85634" w:rsidRDefault="009F6EE7" w:rsidP="009F6EE7">
      <w:pPr>
        <w:pStyle w:val="NormalHanging12a"/>
      </w:pPr>
      <w:r w:rsidRPr="00F85634">
        <w:t>S.</w:t>
      </w:r>
      <w:r w:rsidRPr="00F85634">
        <w:tab/>
        <w:t>keďže v článku 191 ods. 2 ZFEÚ sa stanovuje zásada predchádzania škodám a prevencie ako jedna zo základných zásad Únie;</w:t>
      </w:r>
    </w:p>
    <w:p w:rsidR="009F6EE7" w:rsidRPr="00F85634" w:rsidRDefault="009F6EE7" w:rsidP="009F6EE7">
      <w:pPr>
        <w:pStyle w:val="NormalHanging12a"/>
      </w:pPr>
      <w:r w:rsidRPr="00F85634">
        <w:t>T.</w:t>
      </w:r>
      <w:r w:rsidRPr="00F85634">
        <w:tab/>
        <w:t>keďže Komisia musí chrániť životné prostredie a európskych občanov na základe dostupných vedeckých informácií s využitím povinností a právnych možností, ktoré stanovujú nariadenia (ES) č. 396/2005 a (ES) č. 178/2002, s cieľom zabezpečiť vysokú úroveň ochrany zdravia ľudí a zvierat a životného prostredia;</w:t>
      </w:r>
    </w:p>
    <w:p w:rsidR="009F6EE7" w:rsidRPr="00F85634" w:rsidRDefault="009F6EE7" w:rsidP="009F6EE7">
      <w:pPr>
        <w:pStyle w:val="NormalHanging12a"/>
      </w:pPr>
      <w:r w:rsidRPr="00F85634">
        <w:t>U.</w:t>
      </w:r>
      <w:r w:rsidRPr="00F85634">
        <w:tab/>
        <w:t>keďže navrhované MRL nechránia zdravie občanov v Európe, a preto sú v rozpore s nariadeniami (ES) č. 396/2005 a (ES) č. 178/2002;</w:t>
      </w:r>
    </w:p>
    <w:p w:rsidR="009F6EE7" w:rsidRPr="00F85634" w:rsidRDefault="009F6EE7" w:rsidP="009F6EE7">
      <w:pPr>
        <w:pStyle w:val="NormalHanging12a"/>
      </w:pPr>
      <w:r w:rsidRPr="00F85634">
        <w:t>V.</w:t>
      </w:r>
      <w:r w:rsidRPr="00F85634">
        <w:tab/>
        <w:t xml:space="preserve">keďže MRL by sa nemali stanovovať pre účinné látky, ktoré nie sú schválené v Únii z dôvodu obáv o zdravie; keďže preto by sa žiadne hodnoty CXL prekračujúce príslušný kvantifikačný limit alebo štandardnú hodnotu 0,01 mg/kg nemali považovať za bezpečné pre spotrebiteľov, pretože </w:t>
      </w:r>
      <w:proofErr w:type="spellStart"/>
      <w:r w:rsidRPr="00F85634">
        <w:t>cyprokonazol</w:t>
      </w:r>
      <w:proofErr w:type="spellEnd"/>
      <w:r w:rsidRPr="00F85634">
        <w:t xml:space="preserve"> je klasifikovaný ako reprodukčne </w:t>
      </w:r>
      <w:r w:rsidRPr="00F85634">
        <w:lastRenderedPageBreak/>
        <w:t>toxická látka kategórie 1B;</w:t>
      </w:r>
    </w:p>
    <w:p w:rsidR="009F6EE7" w:rsidRPr="00F85634" w:rsidRDefault="009F6EE7" w:rsidP="009F6EE7">
      <w:pPr>
        <w:pStyle w:val="NormalHanging12a"/>
      </w:pPr>
      <w:r w:rsidRPr="00F85634">
        <w:t>W.</w:t>
      </w:r>
      <w:r w:rsidRPr="00F85634">
        <w:tab/>
        <w:t xml:space="preserve"> keďže pri stanovovaní MRL je potrebné zohľadniť kumulatívne a synergické účinky a je nanajvýš dôležité naliehavo urýchliť vývoj vhodných metód na toto hodnotenie;</w:t>
      </w:r>
    </w:p>
    <w:p w:rsidR="009F6EE7" w:rsidRPr="00F85634" w:rsidRDefault="009F6EE7" w:rsidP="009F6EE7">
      <w:pPr>
        <w:pStyle w:val="NormalHanging12a"/>
      </w:pPr>
      <w:r w:rsidRPr="00F85634">
        <w:t>1.</w:t>
      </w:r>
      <w:r w:rsidRPr="00F85634">
        <w:tab/>
        <w:t>vznáša námietku voči prijatiu návrhu nariadenia Komisie;</w:t>
      </w:r>
    </w:p>
    <w:p w:rsidR="009F6EE7" w:rsidRPr="00F85634" w:rsidRDefault="009F6EE7" w:rsidP="009F6EE7">
      <w:pPr>
        <w:pStyle w:val="NormalHanging12a"/>
        <w:rPr>
          <w:szCs w:val="24"/>
        </w:rPr>
      </w:pPr>
      <w:r w:rsidRPr="00F85634">
        <w:t>2.</w:t>
      </w:r>
      <w:r w:rsidRPr="00F85634">
        <w:tab/>
        <w:t>domnieva sa, že návrh nariadenia Komisie nie je v súlade s cieľom a obsahom nariadení (ES) č. 396/2005 a (ES) č. 178/2002, ani s nariadením (ES) č.</w:t>
      </w:r>
      <w:r w:rsidR="007D4EA7">
        <w:t xml:space="preserve"> </w:t>
      </w:r>
      <w:bookmarkStart w:id="7" w:name="_GoBack"/>
      <w:bookmarkEnd w:id="7"/>
      <w:r w:rsidRPr="00F85634">
        <w:t>1107/2009 vrátane bodu 3.6.4 jeho prílohy II;</w:t>
      </w:r>
    </w:p>
    <w:p w:rsidR="009F6EE7" w:rsidRPr="00F85634" w:rsidRDefault="009F6EE7" w:rsidP="009F6EE7">
      <w:pPr>
        <w:pStyle w:val="NormalHanging12a"/>
      </w:pPr>
      <w:r w:rsidRPr="00F85634">
        <w:t>3.</w:t>
      </w:r>
      <w:r w:rsidRPr="00F85634">
        <w:tab/>
        <w:t>žiada Komisiu, aby uplatnila zásadu predchádzania škodám a prevencie a stiahla svoj návrh nariadenia a aby preložila výboru nový návrh;</w:t>
      </w:r>
    </w:p>
    <w:p w:rsidR="009F6EE7" w:rsidRPr="00F85634" w:rsidRDefault="009F6EE7" w:rsidP="009F6EE7">
      <w:pPr>
        <w:pStyle w:val="NormalHanging12a"/>
      </w:pPr>
      <w:r w:rsidRPr="00F85634">
        <w:t>4.</w:t>
      </w:r>
      <w:r w:rsidRPr="00F85634">
        <w:tab/>
        <w:t xml:space="preserve">vyzýva Komisiu, aby predložila výboru nový návrh nariadenia, ktorým sa všetky maximálne hladiny rezíduí </w:t>
      </w:r>
      <w:proofErr w:type="spellStart"/>
      <w:r w:rsidRPr="00F85634">
        <w:t>cyprokonazolu</w:t>
      </w:r>
      <w:proofErr w:type="spellEnd"/>
      <w:r w:rsidRPr="00F85634">
        <w:t xml:space="preserve"> znížia na úrovne kvantifikačného limitu alebo na štandardnú hodnotu 0,01 mg/kg pri všetkých použitiach, a aby všetky žiadosti o dovozné tolerancie zamietla;</w:t>
      </w:r>
    </w:p>
    <w:p w:rsidR="009F6EE7" w:rsidRPr="00F85634" w:rsidRDefault="009F6EE7" w:rsidP="009F6EE7">
      <w:pPr>
        <w:pStyle w:val="NormalHanging12a"/>
      </w:pPr>
      <w:r w:rsidRPr="00F85634">
        <w:t>5.</w:t>
      </w:r>
      <w:r w:rsidRPr="00F85634">
        <w:tab/>
        <w:t>berie na vedomie, že EFSA pracuje na vyvinutí metód posudzovania kumulatívnych rizík, ale zároveň konštatuje, že problém posudzovania kumulatívnych účinkov pesticídov a rezíduí je známy už desaťročia; žiada preto EFSA a Komisiu, aby tento problém riešili ako mimoriadne naliehavú záležitosť;</w:t>
      </w:r>
    </w:p>
    <w:p w:rsidR="009F6EE7" w:rsidRPr="00F85634" w:rsidRDefault="009F6EE7" w:rsidP="009F6EE7">
      <w:pPr>
        <w:pStyle w:val="NormalHanging12a"/>
      </w:pPr>
      <w:r w:rsidRPr="00F85634">
        <w:t>6.</w:t>
      </w:r>
      <w:r w:rsidRPr="00F85634">
        <w:tab/>
        <w:t xml:space="preserve">poveruje svoju predsedníčku, aby postúpila toto uznesenie Rade, Komisii a vládam a parlamentom členských štátov. </w:t>
      </w:r>
    </w:p>
    <w:sectPr w:rsidR="009F6EE7" w:rsidRPr="00F85634" w:rsidSect="006B513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DA5" w:rsidRPr="006B5136" w:rsidRDefault="00D37DA5">
      <w:r w:rsidRPr="006B5136">
        <w:separator/>
      </w:r>
    </w:p>
  </w:endnote>
  <w:endnote w:type="continuationSeparator" w:id="0">
    <w:p w:rsidR="00D37DA5" w:rsidRPr="006B5136" w:rsidRDefault="00D37DA5">
      <w:r w:rsidRPr="006B51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51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51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51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DA5" w:rsidRPr="006B5136" w:rsidRDefault="00D37DA5">
      <w:r w:rsidRPr="006B5136">
        <w:separator/>
      </w:r>
    </w:p>
  </w:footnote>
  <w:footnote w:type="continuationSeparator" w:id="0">
    <w:p w:rsidR="00D37DA5" w:rsidRPr="006B5136" w:rsidRDefault="00D37DA5">
      <w:r w:rsidRPr="006B5136">
        <w:continuationSeparator/>
      </w:r>
    </w:p>
  </w:footnote>
  <w:footnote w:id="1">
    <w:p w:rsidR="009F6EE7" w:rsidRPr="00D41BBF" w:rsidRDefault="009F6EE7" w:rsidP="006B5136">
      <w:pPr>
        <w:pStyle w:val="FootnoteText"/>
        <w:ind w:left="567" w:hanging="567"/>
        <w:rPr>
          <w:sz w:val="24"/>
          <w:szCs w:val="24"/>
          <w:lang w:val="sk-SK"/>
        </w:rPr>
      </w:pPr>
      <w:r w:rsidRPr="00D41BBF">
        <w:rPr>
          <w:rStyle w:val="FootnoteReference"/>
          <w:sz w:val="24"/>
          <w:szCs w:val="24"/>
          <w:lang w:val="sk-SK"/>
        </w:rPr>
        <w:footnoteRef/>
      </w:r>
      <w:r w:rsidR="006B5136" w:rsidRPr="00D41BBF">
        <w:rPr>
          <w:sz w:val="24"/>
          <w:szCs w:val="24"/>
          <w:lang w:val="sk-SK"/>
        </w:rPr>
        <w:t xml:space="preserve"> </w:t>
      </w:r>
      <w:r w:rsidR="006B5136" w:rsidRPr="00D41BBF">
        <w:rPr>
          <w:sz w:val="24"/>
          <w:szCs w:val="24"/>
          <w:lang w:val="sk-SK"/>
        </w:rPr>
        <w:tab/>
      </w:r>
      <w:r w:rsidRPr="00D41BBF">
        <w:rPr>
          <w:sz w:val="24"/>
          <w:szCs w:val="24"/>
          <w:lang w:val="sk-SK"/>
        </w:rPr>
        <w:t>Ú. v. EÚ L 70, 16.3.2005, s. 1.</w:t>
      </w:r>
    </w:p>
  </w:footnote>
  <w:footnote w:id="2">
    <w:p w:rsidR="009F6EE7" w:rsidRPr="00D41BBF" w:rsidRDefault="009F6EE7" w:rsidP="006B5136">
      <w:pPr>
        <w:pStyle w:val="FootnoteText"/>
        <w:ind w:left="567" w:hanging="567"/>
        <w:rPr>
          <w:sz w:val="24"/>
          <w:szCs w:val="24"/>
          <w:lang w:val="sk-SK"/>
        </w:rPr>
      </w:pPr>
      <w:r w:rsidRPr="00D41BBF">
        <w:rPr>
          <w:rStyle w:val="FootnoteReference"/>
          <w:sz w:val="24"/>
          <w:szCs w:val="24"/>
          <w:lang w:val="sk-SK"/>
        </w:rPr>
        <w:footnoteRef/>
      </w:r>
      <w:r w:rsidR="006B5136" w:rsidRPr="00D41BBF">
        <w:rPr>
          <w:sz w:val="24"/>
          <w:szCs w:val="24"/>
          <w:lang w:val="sk-SK"/>
        </w:rPr>
        <w:t xml:space="preserve"> </w:t>
      </w:r>
      <w:r w:rsidR="006B5136" w:rsidRPr="00D41BBF">
        <w:rPr>
          <w:sz w:val="24"/>
          <w:szCs w:val="24"/>
          <w:lang w:val="sk-SK"/>
        </w:rPr>
        <w:tab/>
      </w:r>
      <w:r w:rsidRPr="00D41BBF">
        <w:rPr>
          <w:sz w:val="24"/>
          <w:szCs w:val="24"/>
          <w:lang w:val="sk-SK"/>
        </w:rPr>
        <w:t>Ú. v. EÚ L 309, 24.11.2009, s. 1.</w:t>
      </w:r>
    </w:p>
  </w:footnote>
  <w:footnote w:id="3">
    <w:p w:rsidR="009F6EE7" w:rsidRPr="00D41BBF" w:rsidRDefault="009F6EE7" w:rsidP="006B5136">
      <w:pPr>
        <w:pStyle w:val="FootnoteText"/>
        <w:ind w:left="567" w:hanging="567"/>
        <w:rPr>
          <w:sz w:val="24"/>
          <w:szCs w:val="24"/>
          <w:lang w:val="sk-SK"/>
        </w:rPr>
      </w:pPr>
      <w:r w:rsidRPr="00D41BBF">
        <w:rPr>
          <w:rStyle w:val="FootnoteReference"/>
          <w:sz w:val="24"/>
          <w:szCs w:val="24"/>
          <w:lang w:val="sk-SK"/>
        </w:rPr>
        <w:footnoteRef/>
      </w:r>
      <w:r w:rsidR="006B5136" w:rsidRPr="00D41BBF">
        <w:rPr>
          <w:sz w:val="24"/>
          <w:szCs w:val="24"/>
          <w:lang w:val="sk-SK"/>
        </w:rPr>
        <w:t xml:space="preserve"> </w:t>
      </w:r>
      <w:r w:rsidR="006B5136" w:rsidRPr="00D41BBF">
        <w:rPr>
          <w:sz w:val="24"/>
          <w:szCs w:val="24"/>
          <w:lang w:val="sk-SK"/>
        </w:rPr>
        <w:tab/>
      </w:r>
      <w:r w:rsidRPr="00D41BBF">
        <w:rPr>
          <w:sz w:val="24"/>
          <w:szCs w:val="24"/>
          <w:lang w:val="sk-SK"/>
        </w:rPr>
        <w:t>Ú. v. ES L 31, 1.2.2002, s. 1.</w:t>
      </w:r>
    </w:p>
  </w:footnote>
  <w:footnote w:id="4">
    <w:p w:rsidR="009F6EE7" w:rsidRPr="00D41BBF" w:rsidRDefault="009F6EE7" w:rsidP="006B5136">
      <w:pPr>
        <w:pStyle w:val="FootnoteText"/>
        <w:ind w:left="567" w:hanging="567"/>
        <w:rPr>
          <w:sz w:val="24"/>
          <w:szCs w:val="24"/>
          <w:lang w:val="sk-SK"/>
        </w:rPr>
      </w:pPr>
      <w:r w:rsidRPr="00D41BBF">
        <w:rPr>
          <w:rStyle w:val="FootnoteReference"/>
          <w:sz w:val="24"/>
          <w:szCs w:val="24"/>
          <w:lang w:val="sk-SK"/>
        </w:rPr>
        <w:footnoteRef/>
      </w:r>
      <w:r w:rsidR="006B5136" w:rsidRPr="00D41BBF">
        <w:rPr>
          <w:sz w:val="24"/>
          <w:szCs w:val="24"/>
          <w:lang w:val="sk-SK"/>
        </w:rPr>
        <w:t xml:space="preserve"> </w:t>
      </w:r>
      <w:r w:rsidR="006B5136" w:rsidRPr="00D41BBF">
        <w:rPr>
          <w:sz w:val="24"/>
          <w:szCs w:val="24"/>
          <w:lang w:val="sk-SK"/>
        </w:rPr>
        <w:tab/>
      </w:r>
      <w:r w:rsidRPr="00D41BBF">
        <w:rPr>
          <w:sz w:val="24"/>
          <w:szCs w:val="24"/>
          <w:lang w:val="sk-SK"/>
        </w:rPr>
        <w:t xml:space="preserve">Odôvodnené stanovisko úradu EFSA k preskúmaniu existujúcich maximálnych hladín rezíduí </w:t>
      </w:r>
      <w:proofErr w:type="spellStart"/>
      <w:r w:rsidRPr="00D41BBF">
        <w:rPr>
          <w:sz w:val="24"/>
          <w:szCs w:val="24"/>
          <w:lang w:val="sk-SK"/>
        </w:rPr>
        <w:t>cyprokonazolu</w:t>
      </w:r>
      <w:proofErr w:type="spellEnd"/>
      <w:r w:rsidRPr="00D41BBF">
        <w:rPr>
          <w:sz w:val="24"/>
          <w:szCs w:val="24"/>
          <w:lang w:val="sk-SK"/>
        </w:rPr>
        <w:t xml:space="preserve"> podľa článku 12 nariadenia (ES) č. 396/2005, Vestník EFSA (EFSA </w:t>
      </w:r>
      <w:proofErr w:type="spellStart"/>
      <w:r w:rsidRPr="00D41BBF">
        <w:rPr>
          <w:sz w:val="24"/>
          <w:szCs w:val="24"/>
          <w:lang w:val="sk-SK"/>
        </w:rPr>
        <w:t>Journal</w:t>
      </w:r>
      <w:proofErr w:type="spellEnd"/>
      <w:r w:rsidRPr="00D41BBF">
        <w:rPr>
          <w:sz w:val="24"/>
          <w:szCs w:val="24"/>
          <w:lang w:val="sk-SK"/>
        </w:rPr>
        <w:t xml:space="preserve">) (2021) 19(3):e06483, </w:t>
      </w:r>
      <w:r w:rsidR="007D4EA7">
        <w:fldChar w:fldCharType="begin"/>
      </w:r>
      <w:r w:rsidR="007D4EA7" w:rsidRPr="007D4EA7">
        <w:rPr>
          <w:lang w:val="sk-SK"/>
        </w:rPr>
        <w:instrText xml:space="preserve"> HYPERLINK "https://doi.org/10.2903/j.efsa.2021.6483" </w:instrText>
      </w:r>
      <w:r w:rsidR="007D4EA7">
        <w:fldChar w:fldCharType="separate"/>
      </w:r>
      <w:r w:rsidRPr="00D41BBF">
        <w:rPr>
          <w:rStyle w:val="Hyperlink"/>
          <w:sz w:val="24"/>
          <w:szCs w:val="24"/>
          <w:lang w:val="sk-SK"/>
        </w:rPr>
        <w:t>https://doi.org/10.2903/j.efsa.2021.6483</w:t>
      </w:r>
      <w:r w:rsidR="007D4EA7">
        <w:rPr>
          <w:rStyle w:val="Hyperlink"/>
          <w:sz w:val="24"/>
          <w:szCs w:val="24"/>
          <w:lang w:val="sk-SK"/>
        </w:rPr>
        <w:fldChar w:fldCharType="end"/>
      </w:r>
      <w:r w:rsidRPr="00D41BBF">
        <w:rPr>
          <w:sz w:val="24"/>
          <w:szCs w:val="24"/>
          <w:lang w:val="sk-SK"/>
        </w:rPr>
        <w:t>.</w:t>
      </w:r>
    </w:p>
  </w:footnote>
  <w:footnote w:id="5">
    <w:p w:rsidR="009F6EE7" w:rsidRPr="00D41BBF" w:rsidRDefault="009F6EE7" w:rsidP="006B5136">
      <w:pPr>
        <w:pStyle w:val="FootnoteText"/>
        <w:ind w:left="567" w:hanging="567"/>
        <w:rPr>
          <w:sz w:val="24"/>
          <w:szCs w:val="24"/>
          <w:lang w:val="sk-SK"/>
        </w:rPr>
      </w:pPr>
      <w:r w:rsidRPr="00D41BBF">
        <w:rPr>
          <w:rStyle w:val="FootnoteReference"/>
          <w:sz w:val="24"/>
          <w:szCs w:val="24"/>
          <w:lang w:val="sk-SK"/>
        </w:rPr>
        <w:footnoteRef/>
      </w:r>
      <w:r w:rsidR="006B5136" w:rsidRPr="00D41BBF">
        <w:rPr>
          <w:sz w:val="24"/>
          <w:szCs w:val="24"/>
          <w:lang w:val="sk-SK"/>
        </w:rPr>
        <w:t xml:space="preserve"> </w:t>
      </w:r>
      <w:r w:rsidR="006B5136" w:rsidRPr="00D41BBF">
        <w:rPr>
          <w:sz w:val="24"/>
          <w:szCs w:val="24"/>
          <w:lang w:val="sk-SK"/>
        </w:rPr>
        <w:tab/>
      </w:r>
      <w:r w:rsidRPr="00D41BBF">
        <w:rPr>
          <w:sz w:val="24"/>
          <w:szCs w:val="24"/>
          <w:lang w:val="sk-SK"/>
        </w:rPr>
        <w:t xml:space="preserve">Záver EFSA z partnerského preskúmania účinnej látky </w:t>
      </w:r>
      <w:proofErr w:type="spellStart"/>
      <w:r w:rsidRPr="00D41BBF">
        <w:rPr>
          <w:sz w:val="24"/>
          <w:szCs w:val="24"/>
          <w:lang w:val="sk-SK"/>
        </w:rPr>
        <w:t>cyprokonazol</w:t>
      </w:r>
      <w:proofErr w:type="spellEnd"/>
      <w:r w:rsidRPr="00D41BBF">
        <w:rPr>
          <w:sz w:val="24"/>
          <w:szCs w:val="24"/>
          <w:lang w:val="sk-SK"/>
        </w:rPr>
        <w:t xml:space="preserve"> z hľadiska hodnotenia rizík pesticídov, EFSA </w:t>
      </w:r>
      <w:proofErr w:type="spellStart"/>
      <w:r w:rsidRPr="00D41BBF">
        <w:rPr>
          <w:sz w:val="24"/>
          <w:szCs w:val="24"/>
          <w:lang w:val="sk-SK"/>
        </w:rPr>
        <w:t>Journal</w:t>
      </w:r>
      <w:proofErr w:type="spellEnd"/>
      <w:r w:rsidRPr="00D41BBF">
        <w:rPr>
          <w:sz w:val="24"/>
          <w:szCs w:val="24"/>
          <w:lang w:val="sk-SK"/>
        </w:rPr>
        <w:t xml:space="preserve"> (Vestník EFSA) 2010;8(11):1897, </w:t>
      </w:r>
      <w:r w:rsidR="007D4EA7">
        <w:fldChar w:fldCharType="begin"/>
      </w:r>
      <w:r w:rsidR="007D4EA7" w:rsidRPr="007D4EA7">
        <w:rPr>
          <w:lang w:val="sk-SK"/>
        </w:rPr>
        <w:instrText xml:space="preserve"> HYPERLINK "https://doi.org/10.2903/j.efsa.2010.1897" </w:instrText>
      </w:r>
      <w:r w:rsidR="007D4EA7">
        <w:fldChar w:fldCharType="separate"/>
      </w:r>
      <w:r w:rsidRPr="00D41BBF">
        <w:rPr>
          <w:rStyle w:val="Hyperlink"/>
          <w:sz w:val="24"/>
          <w:szCs w:val="24"/>
          <w:lang w:val="sk-SK"/>
        </w:rPr>
        <w:t>https://doi.org/10.2903/j.efsa.2010.1897</w:t>
      </w:r>
      <w:r w:rsidR="007D4EA7">
        <w:rPr>
          <w:rStyle w:val="Hyperlink"/>
          <w:sz w:val="24"/>
          <w:szCs w:val="24"/>
          <w:lang w:val="sk-SK"/>
        </w:rPr>
        <w:fldChar w:fldCharType="end"/>
      </w:r>
      <w:r w:rsidRPr="00D41BBF">
        <w:rPr>
          <w:sz w:val="24"/>
          <w:szCs w:val="24"/>
          <w:lang w:val="sk-SK"/>
        </w:rPr>
        <w:t>.</w:t>
      </w:r>
    </w:p>
  </w:footnote>
  <w:footnote w:id="6">
    <w:p w:rsidR="009F6EE7" w:rsidRPr="00D41BBF" w:rsidRDefault="009F6EE7" w:rsidP="006B5136">
      <w:pPr>
        <w:pStyle w:val="FootnoteText"/>
        <w:ind w:left="567" w:hanging="567"/>
        <w:rPr>
          <w:sz w:val="24"/>
          <w:szCs w:val="24"/>
          <w:lang w:val="sk-SK"/>
        </w:rPr>
      </w:pPr>
      <w:r w:rsidRPr="00D41BBF">
        <w:rPr>
          <w:rStyle w:val="FootnoteReference"/>
          <w:sz w:val="24"/>
          <w:szCs w:val="24"/>
          <w:lang w:val="sk-SK"/>
        </w:rPr>
        <w:footnoteRef/>
      </w:r>
      <w:r w:rsidR="006B5136" w:rsidRPr="00D41BBF">
        <w:rPr>
          <w:sz w:val="24"/>
          <w:szCs w:val="24"/>
          <w:lang w:val="sk-SK"/>
        </w:rPr>
        <w:t xml:space="preserve"> </w:t>
      </w:r>
      <w:r w:rsidR="006B5136" w:rsidRPr="00D41BBF">
        <w:rPr>
          <w:sz w:val="24"/>
          <w:szCs w:val="24"/>
          <w:lang w:val="sk-SK"/>
        </w:rPr>
        <w:tab/>
      </w:r>
      <w:r w:rsidRPr="00D41BBF">
        <w:rPr>
          <w:sz w:val="24"/>
          <w:szCs w:val="24"/>
          <w:lang w:val="sk-SK"/>
        </w:rPr>
        <w:t xml:space="preserve">Stanovisko Výboru pre hodnotenie rizík s návrhom na harmonizovanú klasifikáciu a označovanie </w:t>
      </w:r>
      <w:proofErr w:type="spellStart"/>
      <w:r w:rsidRPr="00D41BBF">
        <w:rPr>
          <w:sz w:val="24"/>
          <w:szCs w:val="24"/>
          <w:lang w:val="sk-SK"/>
        </w:rPr>
        <w:t>cyprokonazolu</w:t>
      </w:r>
      <w:proofErr w:type="spellEnd"/>
      <w:r w:rsidRPr="00D41BBF">
        <w:rPr>
          <w:sz w:val="24"/>
          <w:szCs w:val="24"/>
          <w:lang w:val="sk-SK"/>
        </w:rPr>
        <w:t xml:space="preserve"> (ISO) na úrovni EÚ; (2RS,3RS;2RS,3SR)-2-(4-chlórfenyl)-3-cyklopropyl-1-(1H-1,2,4-triazol-1-yl)bután-2-ol, </w:t>
      </w:r>
      <w:r w:rsidR="007D4EA7">
        <w:fldChar w:fldCharType="begin"/>
      </w:r>
      <w:r w:rsidR="007D4EA7" w:rsidRPr="007D4EA7">
        <w:rPr>
          <w:lang w:val="sk-SK"/>
        </w:rPr>
        <w:instrText xml:space="preserve"> HYPERLINK "https://echa.europa.eu/documents/10162/6d98baeb-24aa-a683-28ec-d8adabee5461" </w:instrText>
      </w:r>
      <w:r w:rsidR="007D4EA7">
        <w:fldChar w:fldCharType="separate"/>
      </w:r>
      <w:r w:rsidRPr="00D41BBF">
        <w:rPr>
          <w:rStyle w:val="Hyperlink"/>
          <w:sz w:val="24"/>
          <w:szCs w:val="24"/>
          <w:lang w:val="sk-SK"/>
        </w:rPr>
        <w:t>https://echa.europa.eu/documents/10162/6d98baeb-24aa-a683-28ec-d8adabee5461</w:t>
      </w:r>
      <w:r w:rsidR="007D4EA7">
        <w:rPr>
          <w:rStyle w:val="Hyperlink"/>
          <w:sz w:val="24"/>
          <w:szCs w:val="24"/>
          <w:lang w:val="sk-SK"/>
        </w:rPr>
        <w:fldChar w:fldCharType="end"/>
      </w:r>
      <w:r w:rsidRPr="00D41BBF">
        <w:rPr>
          <w:sz w:val="24"/>
          <w:szCs w:val="24"/>
          <w:lang w:val="sk-SK"/>
        </w:rPr>
        <w:t>.</w:t>
      </w:r>
    </w:p>
  </w:footnote>
  <w:footnote w:id="7">
    <w:p w:rsidR="009F6EE7" w:rsidRPr="00D41BBF" w:rsidRDefault="009F6EE7" w:rsidP="006B5136">
      <w:pPr>
        <w:pStyle w:val="FootnoteText"/>
        <w:ind w:left="567" w:hanging="567"/>
        <w:rPr>
          <w:sz w:val="24"/>
          <w:szCs w:val="24"/>
          <w:lang w:val="sk-SK"/>
        </w:rPr>
      </w:pPr>
      <w:r w:rsidRPr="00D41BBF">
        <w:rPr>
          <w:rStyle w:val="FootnoteReference"/>
          <w:sz w:val="24"/>
          <w:szCs w:val="24"/>
          <w:lang w:val="sk-SK"/>
        </w:rPr>
        <w:footnoteRef/>
      </w:r>
      <w:r w:rsidR="006B5136" w:rsidRPr="00D41BBF">
        <w:rPr>
          <w:sz w:val="24"/>
          <w:szCs w:val="24"/>
          <w:lang w:val="sk-SK"/>
        </w:rPr>
        <w:t xml:space="preserve"> </w:t>
      </w:r>
      <w:r w:rsidR="006B5136" w:rsidRPr="00D41BBF">
        <w:rPr>
          <w:sz w:val="24"/>
          <w:szCs w:val="24"/>
          <w:lang w:val="sk-SK"/>
        </w:rPr>
        <w:tab/>
      </w:r>
      <w:r w:rsidRPr="00D41BBF">
        <w:rPr>
          <w:sz w:val="24"/>
          <w:szCs w:val="24"/>
          <w:lang w:val="sk-SK"/>
        </w:rPr>
        <w:t>Ú. v. ES L 184, 17.7.1999, s. 23.</w:t>
      </w:r>
    </w:p>
  </w:footnote>
  <w:footnote w:id="8">
    <w:p w:rsidR="009F6EE7" w:rsidRPr="00D41BBF" w:rsidRDefault="009F6EE7" w:rsidP="006B5136">
      <w:pPr>
        <w:pStyle w:val="FootnoteText"/>
        <w:ind w:left="567" w:hanging="567"/>
        <w:rPr>
          <w:sz w:val="24"/>
          <w:szCs w:val="24"/>
          <w:lang w:val="sk-SK"/>
        </w:rPr>
      </w:pPr>
      <w:r w:rsidRPr="00D41BBF">
        <w:rPr>
          <w:rStyle w:val="FootnoteReference"/>
          <w:sz w:val="24"/>
          <w:szCs w:val="24"/>
          <w:lang w:val="sk-SK"/>
        </w:rPr>
        <w:footnoteRef/>
      </w:r>
      <w:r w:rsidR="006B5136" w:rsidRPr="00D41BBF">
        <w:rPr>
          <w:sz w:val="24"/>
          <w:szCs w:val="24"/>
          <w:lang w:val="sk-SK"/>
        </w:rPr>
        <w:t xml:space="preserve"> </w:t>
      </w:r>
      <w:r w:rsidR="006B5136" w:rsidRPr="00D41BBF">
        <w:rPr>
          <w:sz w:val="24"/>
          <w:szCs w:val="24"/>
          <w:lang w:val="sk-SK"/>
        </w:rPr>
        <w:tab/>
      </w:r>
      <w:r w:rsidRPr="00D41BBF">
        <w:rPr>
          <w:sz w:val="24"/>
          <w:szCs w:val="24"/>
          <w:lang w:val="sk-SK"/>
        </w:rPr>
        <w:t>Nariadenie Európskeho parlamentu a Rady (ES) č. 1272/2008 zo 16. decembra 2008 o klasifikácii, označovaní a balení látok a zmesí, o zmene, doplnení a zrušení smerníc 67/548/EHS a 1999/45/ES a o zmene a doplnení nariadenia (ES) č. 1907/2006 (Ú. v. EÚ L 353, 31.12.2008, s. 1).</w:t>
      </w:r>
    </w:p>
  </w:footnote>
  <w:footnote w:id="9">
    <w:p w:rsidR="009F6EE7" w:rsidRPr="00D41BBF" w:rsidRDefault="009F6EE7" w:rsidP="006B5136">
      <w:pPr>
        <w:pStyle w:val="FootnoteText"/>
        <w:ind w:left="567" w:hanging="567"/>
        <w:rPr>
          <w:sz w:val="24"/>
          <w:szCs w:val="24"/>
          <w:lang w:val="sk-SK"/>
        </w:rPr>
      </w:pPr>
      <w:r w:rsidRPr="00D41BBF">
        <w:rPr>
          <w:rStyle w:val="FootnoteReference"/>
          <w:sz w:val="24"/>
          <w:szCs w:val="24"/>
          <w:lang w:val="sk-SK"/>
        </w:rPr>
        <w:footnoteRef/>
      </w:r>
      <w:r w:rsidR="006B5136" w:rsidRPr="00D41BBF">
        <w:rPr>
          <w:sz w:val="24"/>
          <w:szCs w:val="24"/>
          <w:lang w:val="sk-SK"/>
        </w:rPr>
        <w:t xml:space="preserve"> </w:t>
      </w:r>
      <w:r w:rsidR="006B5136" w:rsidRPr="00D41BBF">
        <w:rPr>
          <w:sz w:val="24"/>
          <w:szCs w:val="24"/>
          <w:lang w:val="sk-SK"/>
        </w:rPr>
        <w:tab/>
      </w:r>
      <w:r w:rsidR="007D4EA7">
        <w:fldChar w:fldCharType="begin"/>
      </w:r>
      <w:r w:rsidR="007D4EA7" w:rsidRPr="007D4EA7">
        <w:rPr>
          <w:lang w:val="sk-SK"/>
        </w:rPr>
        <w:instrText xml:space="preserve"> HYPERLINK "https://www.echa.europa.eu/sk/substance-information/-/substanceinfo/100.130.443" </w:instrText>
      </w:r>
      <w:r w:rsidR="007D4EA7">
        <w:fldChar w:fldCharType="separate"/>
      </w:r>
      <w:r w:rsidRPr="00D41BBF">
        <w:rPr>
          <w:rStyle w:val="Hyperlink"/>
          <w:sz w:val="24"/>
          <w:szCs w:val="24"/>
          <w:lang w:val="sk-SK"/>
        </w:rPr>
        <w:t>https://www.echa.europa.eu/sk/substance-information/-/substanceinfo/100.130.443</w:t>
      </w:r>
      <w:r w:rsidR="007D4EA7">
        <w:rPr>
          <w:rStyle w:val="Hyperlink"/>
          <w:sz w:val="24"/>
          <w:szCs w:val="24"/>
          <w:lang w:val="sk-SK"/>
        </w:rPr>
        <w:fldChar w:fldCharType="end"/>
      </w:r>
      <w:r w:rsidRPr="00D41BBF">
        <w:rPr>
          <w:sz w:val="24"/>
          <w:szCs w:val="24"/>
          <w:lang w:val="sk-SK"/>
        </w:rPr>
        <w:t>.</w:t>
      </w:r>
    </w:p>
  </w:footnote>
  <w:footnote w:id="10">
    <w:p w:rsidR="009F6EE7" w:rsidRPr="00D41BBF" w:rsidRDefault="009F6EE7" w:rsidP="006B5136">
      <w:pPr>
        <w:pStyle w:val="FootnoteText"/>
        <w:ind w:left="567" w:hanging="567"/>
        <w:rPr>
          <w:sz w:val="24"/>
          <w:szCs w:val="24"/>
          <w:lang w:val="sk-SK"/>
        </w:rPr>
      </w:pPr>
      <w:r w:rsidRPr="00D41BBF">
        <w:rPr>
          <w:rStyle w:val="FootnoteReference"/>
          <w:sz w:val="24"/>
          <w:szCs w:val="24"/>
          <w:lang w:val="sk-SK"/>
        </w:rPr>
        <w:footnoteRef/>
      </w:r>
      <w:r w:rsidR="006B5136" w:rsidRPr="00D41BBF">
        <w:rPr>
          <w:sz w:val="24"/>
          <w:szCs w:val="24"/>
          <w:lang w:val="sk-SK"/>
        </w:rPr>
        <w:t xml:space="preserve"> </w:t>
      </w:r>
      <w:r w:rsidR="006B5136" w:rsidRPr="00D41BBF">
        <w:rPr>
          <w:sz w:val="24"/>
          <w:szCs w:val="24"/>
          <w:lang w:val="sk-SK"/>
        </w:rPr>
        <w:tab/>
      </w:r>
      <w:r w:rsidRPr="00D41BBF">
        <w:rPr>
          <w:sz w:val="24"/>
          <w:szCs w:val="24"/>
          <w:lang w:val="sk-SK"/>
        </w:rPr>
        <w:t>Závery EFSA z 8. novembra 2010 z partnerského preskúmania pesticídov</w:t>
      </w:r>
      <w:r w:rsidRPr="00D41BBF">
        <w:rPr>
          <w:rStyle w:val="Hyperlink"/>
          <w:sz w:val="24"/>
          <w:szCs w:val="24"/>
          <w:lang w:val="sk-SK"/>
        </w:rPr>
        <w:t>;</w:t>
      </w:r>
      <w:r w:rsidRPr="00D41BBF">
        <w:rPr>
          <w:sz w:val="24"/>
          <w:szCs w:val="24"/>
          <w:lang w:val="sk-SK"/>
        </w:rPr>
        <w:t xml:space="preserve"> </w:t>
      </w:r>
      <w:proofErr w:type="spellStart"/>
      <w:r w:rsidRPr="00D41BBF">
        <w:rPr>
          <w:sz w:val="24"/>
          <w:szCs w:val="24"/>
          <w:lang w:val="sk-SK"/>
        </w:rPr>
        <w:t>Draskau</w:t>
      </w:r>
      <w:proofErr w:type="spellEnd"/>
      <w:r w:rsidRPr="00D41BBF">
        <w:rPr>
          <w:sz w:val="24"/>
          <w:szCs w:val="24"/>
          <w:lang w:val="sk-SK"/>
        </w:rPr>
        <w:t xml:space="preserve">, M. K., a </w:t>
      </w:r>
      <w:proofErr w:type="spellStart"/>
      <w:r w:rsidRPr="00D41BBF">
        <w:rPr>
          <w:sz w:val="24"/>
          <w:szCs w:val="24"/>
          <w:lang w:val="sk-SK"/>
        </w:rPr>
        <w:t>Svingen</w:t>
      </w:r>
      <w:proofErr w:type="spellEnd"/>
      <w:r w:rsidRPr="00D41BBF">
        <w:rPr>
          <w:sz w:val="24"/>
          <w:szCs w:val="24"/>
          <w:lang w:val="sk-SK"/>
        </w:rPr>
        <w:t xml:space="preserve">, T., </w:t>
      </w:r>
      <w:proofErr w:type="spellStart"/>
      <w:r w:rsidRPr="00D41BBF">
        <w:rPr>
          <w:sz w:val="24"/>
          <w:szCs w:val="24"/>
          <w:lang w:val="sk-SK"/>
        </w:rPr>
        <w:t>Azole</w:t>
      </w:r>
      <w:proofErr w:type="spellEnd"/>
      <w:r w:rsidRPr="00D41BBF">
        <w:rPr>
          <w:sz w:val="24"/>
          <w:szCs w:val="24"/>
          <w:lang w:val="sk-SK"/>
        </w:rPr>
        <w:t xml:space="preserve"> </w:t>
      </w:r>
      <w:proofErr w:type="spellStart"/>
      <w:r w:rsidRPr="00D41BBF">
        <w:rPr>
          <w:sz w:val="24"/>
          <w:szCs w:val="24"/>
          <w:lang w:val="sk-SK"/>
        </w:rPr>
        <w:t>Fungicides</w:t>
      </w:r>
      <w:proofErr w:type="spellEnd"/>
      <w:r w:rsidRPr="00D41BBF">
        <w:rPr>
          <w:sz w:val="24"/>
          <w:szCs w:val="24"/>
          <w:lang w:val="sk-SK"/>
        </w:rPr>
        <w:t xml:space="preserve"> and </w:t>
      </w:r>
      <w:proofErr w:type="spellStart"/>
      <w:r w:rsidRPr="00D41BBF">
        <w:rPr>
          <w:sz w:val="24"/>
          <w:szCs w:val="24"/>
          <w:lang w:val="sk-SK"/>
        </w:rPr>
        <w:t>Their</w:t>
      </w:r>
      <w:proofErr w:type="spellEnd"/>
      <w:r w:rsidRPr="00D41BBF">
        <w:rPr>
          <w:sz w:val="24"/>
          <w:szCs w:val="24"/>
          <w:lang w:val="sk-SK"/>
        </w:rPr>
        <w:t xml:space="preserve"> </w:t>
      </w:r>
      <w:proofErr w:type="spellStart"/>
      <w:r w:rsidRPr="00D41BBF">
        <w:rPr>
          <w:sz w:val="24"/>
          <w:szCs w:val="24"/>
          <w:lang w:val="sk-SK"/>
        </w:rPr>
        <w:t>Endocrine</w:t>
      </w:r>
      <w:proofErr w:type="spellEnd"/>
      <w:r w:rsidRPr="00D41BBF">
        <w:rPr>
          <w:sz w:val="24"/>
          <w:szCs w:val="24"/>
          <w:lang w:val="sk-SK"/>
        </w:rPr>
        <w:t xml:space="preserve"> </w:t>
      </w:r>
      <w:proofErr w:type="spellStart"/>
      <w:r w:rsidRPr="00D41BBF">
        <w:rPr>
          <w:sz w:val="24"/>
          <w:szCs w:val="24"/>
          <w:lang w:val="sk-SK"/>
        </w:rPr>
        <w:t>Disrupting</w:t>
      </w:r>
      <w:proofErr w:type="spellEnd"/>
      <w:r w:rsidRPr="00D41BBF">
        <w:rPr>
          <w:sz w:val="24"/>
          <w:szCs w:val="24"/>
          <w:lang w:val="sk-SK"/>
        </w:rPr>
        <w:t xml:space="preserve"> </w:t>
      </w:r>
      <w:proofErr w:type="spellStart"/>
      <w:r w:rsidRPr="00D41BBF">
        <w:rPr>
          <w:sz w:val="24"/>
          <w:szCs w:val="24"/>
          <w:lang w:val="sk-SK"/>
        </w:rPr>
        <w:t>Properties</w:t>
      </w:r>
      <w:proofErr w:type="spellEnd"/>
      <w:r w:rsidRPr="00D41BBF">
        <w:rPr>
          <w:sz w:val="24"/>
          <w:szCs w:val="24"/>
          <w:lang w:val="sk-SK"/>
        </w:rPr>
        <w:t xml:space="preserve">: </w:t>
      </w:r>
      <w:proofErr w:type="spellStart"/>
      <w:r w:rsidRPr="00D41BBF">
        <w:rPr>
          <w:sz w:val="24"/>
          <w:szCs w:val="24"/>
          <w:lang w:val="sk-SK"/>
        </w:rPr>
        <w:t>Perspectives</w:t>
      </w:r>
      <w:proofErr w:type="spellEnd"/>
      <w:r w:rsidRPr="00D41BBF">
        <w:rPr>
          <w:sz w:val="24"/>
          <w:szCs w:val="24"/>
          <w:lang w:val="sk-SK"/>
        </w:rPr>
        <w:t xml:space="preserve"> on Sex </w:t>
      </w:r>
      <w:proofErr w:type="spellStart"/>
      <w:r w:rsidRPr="00D41BBF">
        <w:rPr>
          <w:sz w:val="24"/>
          <w:szCs w:val="24"/>
          <w:lang w:val="sk-SK"/>
        </w:rPr>
        <w:t>Hormone-Dependent</w:t>
      </w:r>
      <w:proofErr w:type="spellEnd"/>
      <w:r w:rsidRPr="00D41BBF">
        <w:rPr>
          <w:sz w:val="24"/>
          <w:szCs w:val="24"/>
          <w:lang w:val="sk-SK"/>
        </w:rPr>
        <w:t xml:space="preserve"> </w:t>
      </w:r>
      <w:proofErr w:type="spellStart"/>
      <w:r w:rsidRPr="00D41BBF">
        <w:rPr>
          <w:sz w:val="24"/>
          <w:szCs w:val="24"/>
          <w:lang w:val="sk-SK"/>
        </w:rPr>
        <w:t>Reproductive</w:t>
      </w:r>
      <w:proofErr w:type="spellEnd"/>
      <w:r w:rsidRPr="00D41BBF">
        <w:rPr>
          <w:sz w:val="24"/>
          <w:szCs w:val="24"/>
          <w:lang w:val="sk-SK"/>
        </w:rPr>
        <w:t xml:space="preserve"> </w:t>
      </w:r>
      <w:proofErr w:type="spellStart"/>
      <w:r w:rsidRPr="00D41BBF">
        <w:rPr>
          <w:sz w:val="24"/>
          <w:szCs w:val="24"/>
          <w:lang w:val="sk-SK"/>
        </w:rPr>
        <w:t>Development</w:t>
      </w:r>
      <w:proofErr w:type="spellEnd"/>
      <w:r w:rsidRPr="00D41BBF">
        <w:rPr>
          <w:sz w:val="24"/>
          <w:szCs w:val="24"/>
          <w:lang w:val="sk-SK"/>
        </w:rPr>
        <w:t xml:space="preserve"> (</w:t>
      </w:r>
      <w:proofErr w:type="spellStart"/>
      <w:r w:rsidRPr="00D41BBF">
        <w:rPr>
          <w:sz w:val="24"/>
          <w:szCs w:val="24"/>
          <w:lang w:val="sk-SK"/>
        </w:rPr>
        <w:t>Azolové</w:t>
      </w:r>
      <w:proofErr w:type="spellEnd"/>
      <w:r w:rsidRPr="00D41BBF">
        <w:rPr>
          <w:sz w:val="24"/>
          <w:szCs w:val="24"/>
          <w:lang w:val="sk-SK"/>
        </w:rPr>
        <w:t xml:space="preserve"> </w:t>
      </w:r>
      <w:proofErr w:type="spellStart"/>
      <w:r w:rsidRPr="00D41BBF">
        <w:rPr>
          <w:sz w:val="24"/>
          <w:szCs w:val="24"/>
          <w:lang w:val="sk-SK"/>
        </w:rPr>
        <w:t>fungicídy</w:t>
      </w:r>
      <w:proofErr w:type="spellEnd"/>
      <w:r w:rsidRPr="00D41BBF">
        <w:rPr>
          <w:sz w:val="24"/>
          <w:szCs w:val="24"/>
          <w:lang w:val="sk-SK"/>
        </w:rPr>
        <w:t xml:space="preserve"> a ich vlastnosti narúšajúce endokrinný systém: Z hľadiska reprodukčného vývoja závislého od pohlavných hormónov), </w:t>
      </w:r>
      <w:proofErr w:type="spellStart"/>
      <w:r w:rsidRPr="00D41BBF">
        <w:rPr>
          <w:sz w:val="24"/>
          <w:szCs w:val="24"/>
          <w:lang w:val="sk-SK"/>
        </w:rPr>
        <w:t>Frontiers</w:t>
      </w:r>
      <w:proofErr w:type="spellEnd"/>
      <w:r w:rsidRPr="00D41BBF">
        <w:rPr>
          <w:sz w:val="24"/>
          <w:szCs w:val="24"/>
          <w:lang w:val="sk-SK"/>
        </w:rPr>
        <w:t xml:space="preserve"> in </w:t>
      </w:r>
      <w:proofErr w:type="spellStart"/>
      <w:r w:rsidRPr="00D41BBF">
        <w:rPr>
          <w:sz w:val="24"/>
          <w:szCs w:val="24"/>
          <w:lang w:val="sk-SK"/>
        </w:rPr>
        <w:t>Toxicology</w:t>
      </w:r>
      <w:proofErr w:type="spellEnd"/>
      <w:r w:rsidRPr="00D41BBF">
        <w:rPr>
          <w:sz w:val="24"/>
          <w:szCs w:val="24"/>
          <w:lang w:val="sk-SK"/>
        </w:rPr>
        <w:t xml:space="preserve"> 2022, 4:883254, </w:t>
      </w:r>
      <w:r w:rsidR="007D4EA7">
        <w:fldChar w:fldCharType="begin"/>
      </w:r>
      <w:r w:rsidR="007D4EA7" w:rsidRPr="007D4EA7">
        <w:rPr>
          <w:lang w:val="sk-SK"/>
        </w:rPr>
        <w:instrText xml:space="preserve"> HYPERLINK "https://doi.org/10.3389/ftox.2022.883254" </w:instrText>
      </w:r>
      <w:r w:rsidR="007D4EA7">
        <w:fldChar w:fldCharType="separate"/>
      </w:r>
      <w:r w:rsidRPr="00D41BBF">
        <w:rPr>
          <w:rStyle w:val="Hyperlink"/>
          <w:color w:val="0000FF"/>
          <w:sz w:val="24"/>
          <w:szCs w:val="24"/>
          <w:shd w:val="clear" w:color="auto" w:fill="F7F7F7"/>
          <w:lang w:val="sk-SK"/>
        </w:rPr>
        <w:t>https://doi.org/10.3389/ftox.2022.883254</w:t>
      </w:r>
      <w:r w:rsidR="007D4EA7">
        <w:rPr>
          <w:rStyle w:val="Hyperlink"/>
          <w:color w:val="0000FF"/>
          <w:sz w:val="24"/>
          <w:szCs w:val="24"/>
          <w:shd w:val="clear" w:color="auto" w:fill="F7F7F7"/>
          <w:lang w:val="sk-SK"/>
        </w:rPr>
        <w:fldChar w:fldCharType="end"/>
      </w:r>
      <w:r w:rsidRPr="00D41BBF">
        <w:rPr>
          <w:sz w:val="24"/>
          <w:szCs w:val="24"/>
          <w:lang w:val="sk-SK"/>
        </w:rPr>
        <w:t>.</w:t>
      </w:r>
    </w:p>
  </w:footnote>
  <w:footnote w:id="11">
    <w:p w:rsidR="009F6EE7" w:rsidRPr="00D41BBF" w:rsidRDefault="009F6EE7" w:rsidP="006B5136">
      <w:pPr>
        <w:pStyle w:val="FootnoteText"/>
        <w:ind w:left="567" w:hanging="567"/>
        <w:rPr>
          <w:sz w:val="24"/>
          <w:szCs w:val="24"/>
          <w:lang w:val="sk-SK"/>
        </w:rPr>
      </w:pPr>
      <w:r w:rsidRPr="00D41BBF">
        <w:rPr>
          <w:rStyle w:val="FootnoteReference"/>
          <w:sz w:val="24"/>
          <w:szCs w:val="24"/>
          <w:lang w:val="sk-SK"/>
        </w:rPr>
        <w:footnoteRef/>
      </w:r>
      <w:r w:rsidR="006B5136" w:rsidRPr="00D41BBF">
        <w:rPr>
          <w:sz w:val="24"/>
          <w:szCs w:val="24"/>
          <w:lang w:val="sk-SK"/>
        </w:rPr>
        <w:t xml:space="preserve"> </w:t>
      </w:r>
      <w:r w:rsidR="006B5136" w:rsidRPr="00D41BBF">
        <w:rPr>
          <w:sz w:val="24"/>
          <w:szCs w:val="24"/>
          <w:lang w:val="sk-SK"/>
        </w:rPr>
        <w:tab/>
      </w:r>
      <w:r w:rsidRPr="00D41BBF">
        <w:rPr>
          <w:sz w:val="24"/>
          <w:szCs w:val="24"/>
          <w:lang w:val="sk-SK"/>
        </w:rPr>
        <w:t>Nariadenie Komisie (EÚ) 2018/605 z 19. apríla 2018, ktorým sa mení príloha II k nariadeniu (ES) č. 1107/2009 stanovením vedeckých kritérií určovania vlastností narúšajúcich endokrinný systém (Ú. v. EÚ L 101, 20.4.2018, s. 33).</w:t>
      </w:r>
    </w:p>
  </w:footnote>
  <w:footnote w:id="12">
    <w:p w:rsidR="009F6EE7" w:rsidRPr="00D41BBF" w:rsidRDefault="009F6EE7" w:rsidP="006B5136">
      <w:pPr>
        <w:pStyle w:val="FootnoteText"/>
        <w:ind w:left="567" w:hanging="567"/>
        <w:rPr>
          <w:sz w:val="24"/>
          <w:szCs w:val="24"/>
          <w:lang w:val="sk-SK"/>
        </w:rPr>
      </w:pPr>
      <w:r w:rsidRPr="00D41BBF">
        <w:rPr>
          <w:rStyle w:val="FootnoteReference"/>
          <w:sz w:val="24"/>
          <w:szCs w:val="24"/>
          <w:lang w:val="sk-SK"/>
        </w:rPr>
        <w:footnoteRef/>
      </w:r>
      <w:r w:rsidR="006B5136" w:rsidRPr="00D41BBF">
        <w:rPr>
          <w:sz w:val="24"/>
          <w:szCs w:val="24"/>
          <w:lang w:val="sk-SK"/>
        </w:rPr>
        <w:t xml:space="preserve"> </w:t>
      </w:r>
      <w:r w:rsidR="006B5136" w:rsidRPr="00D41BBF">
        <w:rPr>
          <w:sz w:val="24"/>
          <w:szCs w:val="24"/>
          <w:lang w:val="sk-SK"/>
        </w:rPr>
        <w:tab/>
      </w:r>
      <w:r w:rsidRPr="00D41BBF">
        <w:rPr>
          <w:sz w:val="24"/>
          <w:szCs w:val="24"/>
          <w:lang w:val="sk-SK"/>
        </w:rPr>
        <w:t xml:space="preserve">EFSA </w:t>
      </w:r>
      <w:proofErr w:type="spellStart"/>
      <w:r w:rsidRPr="00D41BBF">
        <w:rPr>
          <w:sz w:val="24"/>
          <w:szCs w:val="24"/>
          <w:lang w:val="sk-SK"/>
        </w:rPr>
        <w:t>Scientific</w:t>
      </w:r>
      <w:proofErr w:type="spellEnd"/>
      <w:r w:rsidRPr="00D41BBF">
        <w:rPr>
          <w:sz w:val="24"/>
          <w:szCs w:val="24"/>
          <w:lang w:val="sk-SK"/>
        </w:rPr>
        <w:t xml:space="preserve"> Report of </w:t>
      </w:r>
      <w:proofErr w:type="spellStart"/>
      <w:r w:rsidRPr="00D41BBF">
        <w:rPr>
          <w:sz w:val="24"/>
          <w:szCs w:val="24"/>
          <w:lang w:val="sk-SK"/>
        </w:rPr>
        <w:t>the</w:t>
      </w:r>
      <w:proofErr w:type="spellEnd"/>
      <w:r w:rsidRPr="00D41BBF">
        <w:rPr>
          <w:sz w:val="24"/>
          <w:szCs w:val="24"/>
          <w:lang w:val="sk-SK"/>
        </w:rPr>
        <w:t xml:space="preserve"> </w:t>
      </w:r>
      <w:proofErr w:type="spellStart"/>
      <w:r w:rsidRPr="00D41BBF">
        <w:rPr>
          <w:sz w:val="24"/>
          <w:szCs w:val="24"/>
          <w:lang w:val="sk-SK"/>
        </w:rPr>
        <w:t>Endocrine</w:t>
      </w:r>
      <w:proofErr w:type="spellEnd"/>
      <w:r w:rsidRPr="00D41BBF">
        <w:rPr>
          <w:sz w:val="24"/>
          <w:szCs w:val="24"/>
          <w:lang w:val="sk-SK"/>
        </w:rPr>
        <w:t xml:space="preserve"> </w:t>
      </w:r>
      <w:proofErr w:type="spellStart"/>
      <w:r w:rsidRPr="00D41BBF">
        <w:rPr>
          <w:sz w:val="24"/>
          <w:szCs w:val="24"/>
          <w:lang w:val="sk-SK"/>
        </w:rPr>
        <w:t>Active</w:t>
      </w:r>
      <w:proofErr w:type="spellEnd"/>
      <w:r w:rsidRPr="00D41BBF">
        <w:rPr>
          <w:sz w:val="24"/>
          <w:szCs w:val="24"/>
          <w:lang w:val="sk-SK"/>
        </w:rPr>
        <w:t xml:space="preserve"> </w:t>
      </w:r>
      <w:proofErr w:type="spellStart"/>
      <w:r w:rsidRPr="00D41BBF">
        <w:rPr>
          <w:sz w:val="24"/>
          <w:szCs w:val="24"/>
          <w:lang w:val="sk-SK"/>
        </w:rPr>
        <w:t>Substances</w:t>
      </w:r>
      <w:proofErr w:type="spellEnd"/>
      <w:r w:rsidRPr="00D41BBF">
        <w:rPr>
          <w:sz w:val="24"/>
          <w:szCs w:val="24"/>
          <w:lang w:val="sk-SK"/>
        </w:rPr>
        <w:t xml:space="preserve"> </w:t>
      </w:r>
      <w:proofErr w:type="spellStart"/>
      <w:r w:rsidRPr="00D41BBF">
        <w:rPr>
          <w:sz w:val="24"/>
          <w:szCs w:val="24"/>
          <w:lang w:val="sk-SK"/>
        </w:rPr>
        <w:t>Task</w:t>
      </w:r>
      <w:proofErr w:type="spellEnd"/>
      <w:r w:rsidRPr="00D41BBF">
        <w:rPr>
          <w:sz w:val="24"/>
          <w:szCs w:val="24"/>
          <w:lang w:val="sk-SK"/>
        </w:rPr>
        <w:t xml:space="preserve"> </w:t>
      </w:r>
      <w:proofErr w:type="spellStart"/>
      <w:r w:rsidRPr="00D41BBF">
        <w:rPr>
          <w:sz w:val="24"/>
          <w:szCs w:val="24"/>
          <w:lang w:val="sk-SK"/>
        </w:rPr>
        <w:t>Force</w:t>
      </w:r>
      <w:proofErr w:type="spellEnd"/>
      <w:r w:rsidRPr="00D41BBF">
        <w:rPr>
          <w:sz w:val="24"/>
          <w:szCs w:val="24"/>
          <w:lang w:val="sk-SK"/>
        </w:rPr>
        <w:t xml:space="preserve"> (Vedecká správa pracovnej skupiny EFSA pre endokrinné aktívne látky), EFSA </w:t>
      </w:r>
      <w:proofErr w:type="spellStart"/>
      <w:r w:rsidRPr="00D41BBF">
        <w:rPr>
          <w:sz w:val="24"/>
          <w:szCs w:val="24"/>
          <w:lang w:val="sk-SK"/>
        </w:rPr>
        <w:t>Journal</w:t>
      </w:r>
      <w:proofErr w:type="spellEnd"/>
      <w:r w:rsidRPr="00D41BBF">
        <w:rPr>
          <w:sz w:val="24"/>
          <w:szCs w:val="24"/>
          <w:lang w:val="sk-SK"/>
        </w:rPr>
        <w:t xml:space="preserve"> (Vestník EFSA) 2010; 8(11):1932, </w:t>
      </w:r>
      <w:r w:rsidR="007D4EA7">
        <w:fldChar w:fldCharType="begin"/>
      </w:r>
      <w:r w:rsidR="007D4EA7" w:rsidRPr="007D4EA7">
        <w:rPr>
          <w:lang w:val="sk-SK"/>
        </w:rPr>
        <w:instrText xml:space="preserve"> HYPERLINK "https://doi.org/10.2903/j.efsa.2010.1932" </w:instrText>
      </w:r>
      <w:r w:rsidR="007D4EA7">
        <w:fldChar w:fldCharType="separate"/>
      </w:r>
      <w:r w:rsidRPr="00D41BBF">
        <w:rPr>
          <w:rStyle w:val="Hyperlink"/>
          <w:sz w:val="24"/>
          <w:szCs w:val="24"/>
          <w:lang w:val="sk-SK"/>
        </w:rPr>
        <w:t>https://doi.org/10.2903/j.efsa.2010.1932</w:t>
      </w:r>
      <w:r w:rsidR="007D4EA7">
        <w:rPr>
          <w:rStyle w:val="Hyperlink"/>
          <w:sz w:val="24"/>
          <w:szCs w:val="24"/>
          <w:lang w:val="sk-SK"/>
        </w:rPr>
        <w:fldChar w:fldCharType="end"/>
      </w:r>
      <w:r w:rsidRPr="00D41BBF">
        <w:rPr>
          <w:sz w:val="24"/>
          <w:szCs w:val="24"/>
          <w:lang w:val="sk-SK"/>
        </w:rPr>
        <w:t xml:space="preserve">. </w:t>
      </w:r>
    </w:p>
  </w:footnote>
  <w:footnote w:id="13">
    <w:p w:rsidR="009F6EE7" w:rsidRPr="00D41BBF" w:rsidRDefault="009F6EE7" w:rsidP="006B5136">
      <w:pPr>
        <w:pStyle w:val="FootnoteText"/>
        <w:ind w:left="567" w:hanging="567"/>
        <w:rPr>
          <w:sz w:val="24"/>
          <w:szCs w:val="24"/>
          <w:lang w:val="sk-SK"/>
        </w:rPr>
      </w:pPr>
      <w:r w:rsidRPr="00D41BBF">
        <w:rPr>
          <w:rStyle w:val="FootnoteReference"/>
          <w:sz w:val="24"/>
          <w:szCs w:val="24"/>
          <w:lang w:val="sk-SK"/>
        </w:rPr>
        <w:footnoteRef/>
      </w:r>
      <w:r w:rsidR="006B5136" w:rsidRPr="00D41BBF">
        <w:rPr>
          <w:sz w:val="24"/>
          <w:szCs w:val="24"/>
          <w:lang w:val="sk-SK"/>
        </w:rPr>
        <w:t xml:space="preserve"> </w:t>
      </w:r>
      <w:r w:rsidR="006B5136" w:rsidRPr="00D41BBF">
        <w:rPr>
          <w:sz w:val="24"/>
          <w:szCs w:val="24"/>
          <w:lang w:val="sk-SK"/>
        </w:rPr>
        <w:tab/>
      </w:r>
      <w:proofErr w:type="spellStart"/>
      <w:r w:rsidRPr="00D41BBF">
        <w:rPr>
          <w:sz w:val="24"/>
          <w:szCs w:val="24"/>
          <w:lang w:val="sk-SK"/>
        </w:rPr>
        <w:t>Zhang</w:t>
      </w:r>
      <w:proofErr w:type="spellEnd"/>
      <w:r w:rsidRPr="00D41BBF">
        <w:rPr>
          <w:sz w:val="24"/>
          <w:szCs w:val="24"/>
          <w:lang w:val="sk-SK"/>
        </w:rPr>
        <w:t xml:space="preserve">, J., </w:t>
      </w:r>
      <w:proofErr w:type="spellStart"/>
      <w:r w:rsidRPr="00D41BBF">
        <w:rPr>
          <w:sz w:val="24"/>
          <w:szCs w:val="24"/>
          <w:lang w:val="sk-SK"/>
        </w:rPr>
        <w:t>Jimenez</w:t>
      </w:r>
      <w:proofErr w:type="spellEnd"/>
      <w:r w:rsidRPr="00D41BBF">
        <w:rPr>
          <w:sz w:val="24"/>
          <w:szCs w:val="24"/>
          <w:lang w:val="sk-SK"/>
        </w:rPr>
        <w:t xml:space="preserve">, L. L., </w:t>
      </w:r>
      <w:proofErr w:type="spellStart"/>
      <w:r w:rsidRPr="00D41BBF">
        <w:rPr>
          <w:sz w:val="24"/>
          <w:szCs w:val="24"/>
          <w:lang w:val="sk-SK"/>
        </w:rPr>
        <w:t>Snelders</w:t>
      </w:r>
      <w:proofErr w:type="spellEnd"/>
      <w:r w:rsidRPr="00D41BBF">
        <w:rPr>
          <w:sz w:val="24"/>
          <w:szCs w:val="24"/>
          <w:lang w:val="sk-SK"/>
        </w:rPr>
        <w:t xml:space="preserve">, E., </w:t>
      </w:r>
      <w:proofErr w:type="spellStart"/>
      <w:r w:rsidRPr="00D41BBF">
        <w:rPr>
          <w:sz w:val="24"/>
          <w:szCs w:val="24"/>
          <w:lang w:val="sk-SK"/>
        </w:rPr>
        <w:t>Debets</w:t>
      </w:r>
      <w:proofErr w:type="spellEnd"/>
      <w:r w:rsidRPr="00D41BBF">
        <w:rPr>
          <w:sz w:val="24"/>
          <w:szCs w:val="24"/>
          <w:lang w:val="sk-SK"/>
        </w:rPr>
        <w:t xml:space="preserve">, A. J. M., </w:t>
      </w:r>
      <w:proofErr w:type="spellStart"/>
      <w:r w:rsidRPr="00D41BBF">
        <w:rPr>
          <w:sz w:val="24"/>
          <w:szCs w:val="24"/>
          <w:lang w:val="sk-SK"/>
        </w:rPr>
        <w:t>Rietveld</w:t>
      </w:r>
      <w:proofErr w:type="spellEnd"/>
      <w:r w:rsidRPr="00D41BBF">
        <w:rPr>
          <w:sz w:val="24"/>
          <w:szCs w:val="24"/>
          <w:lang w:val="sk-SK"/>
        </w:rPr>
        <w:t xml:space="preserve">, A. G., </w:t>
      </w:r>
      <w:proofErr w:type="spellStart"/>
      <w:r w:rsidRPr="00D41BBF">
        <w:rPr>
          <w:sz w:val="24"/>
          <w:szCs w:val="24"/>
          <w:lang w:val="sk-SK"/>
        </w:rPr>
        <w:t>Zwaan</w:t>
      </w:r>
      <w:proofErr w:type="spellEnd"/>
      <w:r w:rsidRPr="00D41BBF">
        <w:rPr>
          <w:sz w:val="24"/>
          <w:szCs w:val="24"/>
          <w:lang w:val="sk-SK"/>
        </w:rPr>
        <w:t xml:space="preserve">, B. J., </w:t>
      </w:r>
      <w:proofErr w:type="spellStart"/>
      <w:r w:rsidRPr="00D41BBF">
        <w:rPr>
          <w:sz w:val="24"/>
          <w:szCs w:val="24"/>
          <w:lang w:val="sk-SK"/>
        </w:rPr>
        <w:t>Verweij</w:t>
      </w:r>
      <w:proofErr w:type="spellEnd"/>
      <w:r w:rsidRPr="00D41BBF">
        <w:rPr>
          <w:sz w:val="24"/>
          <w:szCs w:val="24"/>
          <w:lang w:val="sk-SK"/>
        </w:rPr>
        <w:t xml:space="preserve">, P. E., </w:t>
      </w:r>
      <w:proofErr w:type="spellStart"/>
      <w:r w:rsidRPr="00D41BBF">
        <w:rPr>
          <w:sz w:val="24"/>
          <w:szCs w:val="24"/>
          <w:lang w:val="sk-SK"/>
        </w:rPr>
        <w:t>Schoustra</w:t>
      </w:r>
      <w:proofErr w:type="spellEnd"/>
      <w:r w:rsidRPr="00D41BBF">
        <w:rPr>
          <w:sz w:val="24"/>
          <w:szCs w:val="24"/>
          <w:lang w:val="sk-SK"/>
        </w:rPr>
        <w:t xml:space="preserve">, S. E., Dynamics of </w:t>
      </w:r>
      <w:proofErr w:type="spellStart"/>
      <w:r w:rsidRPr="00D41BBF">
        <w:rPr>
          <w:i/>
          <w:sz w:val="24"/>
          <w:szCs w:val="24"/>
          <w:lang w:val="sk-SK"/>
        </w:rPr>
        <w:t>Aspergillus</w:t>
      </w:r>
      <w:proofErr w:type="spellEnd"/>
      <w:r w:rsidRPr="00D41BBF">
        <w:rPr>
          <w:i/>
          <w:sz w:val="24"/>
          <w:szCs w:val="24"/>
          <w:lang w:val="sk-SK"/>
        </w:rPr>
        <w:t xml:space="preserve"> </w:t>
      </w:r>
      <w:proofErr w:type="spellStart"/>
      <w:r w:rsidRPr="00D41BBF">
        <w:rPr>
          <w:i/>
          <w:sz w:val="24"/>
          <w:szCs w:val="24"/>
          <w:lang w:val="sk-SK"/>
        </w:rPr>
        <w:t>fumigatus</w:t>
      </w:r>
      <w:proofErr w:type="spellEnd"/>
      <w:r w:rsidRPr="00D41BBF">
        <w:rPr>
          <w:sz w:val="24"/>
          <w:szCs w:val="24"/>
          <w:lang w:val="sk-SK"/>
        </w:rPr>
        <w:t xml:space="preserve"> in </w:t>
      </w:r>
      <w:proofErr w:type="spellStart"/>
      <w:r w:rsidRPr="00D41BBF">
        <w:rPr>
          <w:sz w:val="24"/>
          <w:szCs w:val="24"/>
          <w:lang w:val="sk-SK"/>
        </w:rPr>
        <w:t>Azole</w:t>
      </w:r>
      <w:proofErr w:type="spellEnd"/>
      <w:r w:rsidRPr="00D41BBF">
        <w:rPr>
          <w:sz w:val="24"/>
          <w:szCs w:val="24"/>
          <w:lang w:val="sk-SK"/>
        </w:rPr>
        <w:t xml:space="preserve"> </w:t>
      </w:r>
      <w:proofErr w:type="spellStart"/>
      <w:r w:rsidRPr="00D41BBF">
        <w:rPr>
          <w:sz w:val="24"/>
          <w:szCs w:val="24"/>
          <w:lang w:val="sk-SK"/>
        </w:rPr>
        <w:t>Fungicide-Containing</w:t>
      </w:r>
      <w:proofErr w:type="spellEnd"/>
      <w:r w:rsidRPr="00D41BBF">
        <w:rPr>
          <w:sz w:val="24"/>
          <w:szCs w:val="24"/>
          <w:lang w:val="sk-SK"/>
        </w:rPr>
        <w:t xml:space="preserve"> </w:t>
      </w:r>
      <w:proofErr w:type="spellStart"/>
      <w:r w:rsidRPr="00D41BBF">
        <w:rPr>
          <w:sz w:val="24"/>
          <w:szCs w:val="24"/>
          <w:lang w:val="sk-SK"/>
        </w:rPr>
        <w:t>Plant</w:t>
      </w:r>
      <w:proofErr w:type="spellEnd"/>
      <w:r w:rsidRPr="00D41BBF">
        <w:rPr>
          <w:sz w:val="24"/>
          <w:szCs w:val="24"/>
          <w:lang w:val="sk-SK"/>
        </w:rPr>
        <w:t xml:space="preserve"> </w:t>
      </w:r>
      <w:proofErr w:type="spellStart"/>
      <w:r w:rsidRPr="00D41BBF">
        <w:rPr>
          <w:sz w:val="24"/>
          <w:szCs w:val="24"/>
          <w:lang w:val="sk-SK"/>
        </w:rPr>
        <w:t>Waste</w:t>
      </w:r>
      <w:proofErr w:type="spellEnd"/>
      <w:r w:rsidRPr="00D41BBF">
        <w:rPr>
          <w:sz w:val="24"/>
          <w:szCs w:val="24"/>
          <w:lang w:val="sk-SK"/>
        </w:rPr>
        <w:t xml:space="preserve"> in </w:t>
      </w:r>
      <w:proofErr w:type="spellStart"/>
      <w:r w:rsidRPr="00D41BBF">
        <w:rPr>
          <w:sz w:val="24"/>
          <w:szCs w:val="24"/>
          <w:lang w:val="sk-SK"/>
        </w:rPr>
        <w:t>the</w:t>
      </w:r>
      <w:proofErr w:type="spellEnd"/>
      <w:r w:rsidRPr="00D41BBF">
        <w:rPr>
          <w:sz w:val="24"/>
          <w:szCs w:val="24"/>
          <w:lang w:val="sk-SK"/>
        </w:rPr>
        <w:t xml:space="preserve"> </w:t>
      </w:r>
      <w:proofErr w:type="spellStart"/>
      <w:r w:rsidRPr="00D41BBF">
        <w:rPr>
          <w:sz w:val="24"/>
          <w:szCs w:val="24"/>
          <w:lang w:val="sk-SK"/>
        </w:rPr>
        <w:t>Netherlands</w:t>
      </w:r>
      <w:proofErr w:type="spellEnd"/>
      <w:r w:rsidRPr="00D41BBF">
        <w:rPr>
          <w:sz w:val="24"/>
          <w:szCs w:val="24"/>
          <w:lang w:val="sk-SK"/>
        </w:rPr>
        <w:t xml:space="preserve"> (2016-2017) (Rozvoj druhu </w:t>
      </w:r>
      <w:proofErr w:type="spellStart"/>
      <w:r w:rsidRPr="00D41BBF">
        <w:rPr>
          <w:sz w:val="24"/>
          <w:szCs w:val="24"/>
          <w:lang w:val="sk-SK"/>
        </w:rPr>
        <w:t>Aspergillus</w:t>
      </w:r>
      <w:proofErr w:type="spellEnd"/>
      <w:r w:rsidRPr="00D41BBF">
        <w:rPr>
          <w:sz w:val="24"/>
          <w:szCs w:val="24"/>
          <w:lang w:val="sk-SK"/>
        </w:rPr>
        <w:t xml:space="preserve"> </w:t>
      </w:r>
      <w:proofErr w:type="spellStart"/>
      <w:r w:rsidRPr="00D41BBF">
        <w:rPr>
          <w:sz w:val="24"/>
          <w:szCs w:val="24"/>
          <w:lang w:val="sk-SK"/>
        </w:rPr>
        <w:t>fumigatus</w:t>
      </w:r>
      <w:proofErr w:type="spellEnd"/>
      <w:r w:rsidRPr="00D41BBF">
        <w:rPr>
          <w:sz w:val="24"/>
          <w:szCs w:val="24"/>
          <w:lang w:val="sk-SK"/>
        </w:rPr>
        <w:t xml:space="preserve"> v rastlinnom odpade obsahujúcom </w:t>
      </w:r>
      <w:proofErr w:type="spellStart"/>
      <w:r w:rsidRPr="00D41BBF">
        <w:rPr>
          <w:sz w:val="24"/>
          <w:szCs w:val="24"/>
          <w:lang w:val="sk-SK"/>
        </w:rPr>
        <w:t>azolové</w:t>
      </w:r>
      <w:proofErr w:type="spellEnd"/>
      <w:r w:rsidRPr="00D41BBF">
        <w:rPr>
          <w:sz w:val="24"/>
          <w:szCs w:val="24"/>
          <w:lang w:val="sk-SK"/>
        </w:rPr>
        <w:t xml:space="preserve"> </w:t>
      </w:r>
      <w:proofErr w:type="spellStart"/>
      <w:r w:rsidRPr="00D41BBF">
        <w:rPr>
          <w:sz w:val="24"/>
          <w:szCs w:val="24"/>
          <w:lang w:val="sk-SK"/>
        </w:rPr>
        <w:t>fungicídy</w:t>
      </w:r>
      <w:proofErr w:type="spellEnd"/>
      <w:r w:rsidRPr="00D41BBF">
        <w:rPr>
          <w:sz w:val="24"/>
          <w:szCs w:val="24"/>
          <w:lang w:val="sk-SK"/>
        </w:rPr>
        <w:t xml:space="preserve"> pozorovaný v Holandsku), </w:t>
      </w:r>
      <w:proofErr w:type="spellStart"/>
      <w:r w:rsidRPr="00D41BBF">
        <w:rPr>
          <w:sz w:val="24"/>
          <w:szCs w:val="24"/>
          <w:lang w:val="sk-SK"/>
        </w:rPr>
        <w:t>Applied</w:t>
      </w:r>
      <w:proofErr w:type="spellEnd"/>
      <w:r w:rsidRPr="00D41BBF">
        <w:rPr>
          <w:sz w:val="24"/>
          <w:szCs w:val="24"/>
          <w:lang w:val="sk-SK"/>
        </w:rPr>
        <w:t xml:space="preserve"> and </w:t>
      </w:r>
      <w:proofErr w:type="spellStart"/>
      <w:r w:rsidRPr="00D41BBF">
        <w:rPr>
          <w:sz w:val="24"/>
          <w:szCs w:val="24"/>
          <w:lang w:val="sk-SK"/>
        </w:rPr>
        <w:t>Environmental</w:t>
      </w:r>
      <w:proofErr w:type="spellEnd"/>
      <w:r w:rsidRPr="00D41BBF">
        <w:rPr>
          <w:sz w:val="24"/>
          <w:szCs w:val="24"/>
          <w:lang w:val="sk-SK"/>
        </w:rPr>
        <w:t xml:space="preserve"> </w:t>
      </w:r>
      <w:proofErr w:type="spellStart"/>
      <w:r w:rsidRPr="00D41BBF">
        <w:rPr>
          <w:sz w:val="24"/>
          <w:szCs w:val="24"/>
          <w:lang w:val="sk-SK"/>
        </w:rPr>
        <w:t>Microbiology</w:t>
      </w:r>
      <w:proofErr w:type="spellEnd"/>
      <w:r w:rsidRPr="00D41BBF">
        <w:rPr>
          <w:sz w:val="24"/>
          <w:szCs w:val="24"/>
          <w:lang w:val="sk-SK"/>
        </w:rPr>
        <w:t xml:space="preserve"> 2021, 87:e02295 – 20, </w:t>
      </w:r>
      <w:r w:rsidR="007D4EA7">
        <w:fldChar w:fldCharType="begin"/>
      </w:r>
      <w:r w:rsidR="007D4EA7" w:rsidRPr="007D4EA7">
        <w:rPr>
          <w:lang w:val="sk-SK"/>
        </w:rPr>
        <w:instrText xml:space="preserve"> HYPERLINK "https://doi.org/10.1128/AEM.02295-20" </w:instrText>
      </w:r>
      <w:r w:rsidR="007D4EA7">
        <w:fldChar w:fldCharType="separate"/>
      </w:r>
      <w:r w:rsidRPr="00D41BBF">
        <w:rPr>
          <w:rStyle w:val="Hyperlink"/>
          <w:sz w:val="24"/>
          <w:szCs w:val="24"/>
          <w:lang w:val="sk-SK"/>
        </w:rPr>
        <w:t>https://doi.org/10.1128/AEM.02295-20</w:t>
      </w:r>
      <w:r w:rsidR="007D4EA7">
        <w:rPr>
          <w:rStyle w:val="Hyperlink"/>
          <w:sz w:val="24"/>
          <w:szCs w:val="24"/>
          <w:lang w:val="sk-SK"/>
        </w:rPr>
        <w:fldChar w:fldCharType="end"/>
      </w:r>
      <w:r w:rsidRPr="00D41BBF">
        <w:rPr>
          <w:color w:val="000000"/>
          <w:sz w:val="24"/>
          <w:szCs w:val="24"/>
          <w:lang w:val="sk-SK"/>
        </w:rPr>
        <w:t xml:space="preserve">; </w:t>
      </w:r>
      <w:r w:rsidRPr="00D41BBF">
        <w:rPr>
          <w:sz w:val="24"/>
          <w:szCs w:val="24"/>
          <w:lang w:val="sk-SK"/>
        </w:rPr>
        <w:t xml:space="preserve">Dánsky výbor pre životné prostredie a potraviny o rezistencii proti </w:t>
      </w:r>
      <w:proofErr w:type="spellStart"/>
      <w:r w:rsidRPr="00D41BBF">
        <w:rPr>
          <w:sz w:val="24"/>
          <w:szCs w:val="24"/>
          <w:lang w:val="sk-SK"/>
        </w:rPr>
        <w:t>azolu</w:t>
      </w:r>
      <w:proofErr w:type="spellEnd"/>
      <w:r w:rsidRPr="00D41BBF">
        <w:rPr>
          <w:sz w:val="24"/>
          <w:szCs w:val="24"/>
          <w:lang w:val="sk-SK"/>
        </w:rPr>
        <w:t xml:space="preserve">, </w:t>
      </w:r>
      <w:r w:rsidR="007D4EA7">
        <w:fldChar w:fldCharType="begin"/>
      </w:r>
      <w:r w:rsidR="007D4EA7" w:rsidRPr="007D4EA7">
        <w:rPr>
          <w:lang w:val="sk-SK"/>
        </w:rPr>
        <w:instrText xml:space="preserve"> HYPERLINK "https://www.ft.dk/samling/20181/almdel/MOF/bilag/407/2016336.pdf" </w:instrText>
      </w:r>
      <w:r w:rsidR="007D4EA7">
        <w:fldChar w:fldCharType="separate"/>
      </w:r>
      <w:r w:rsidRPr="00D41BBF">
        <w:rPr>
          <w:rStyle w:val="Hyperlink"/>
          <w:sz w:val="24"/>
          <w:szCs w:val="24"/>
          <w:lang w:val="sk-SK"/>
        </w:rPr>
        <w:t>https://www.ft.dk/samling/20181/almdel/MOF/bilag/407/2016336.pdf</w:t>
      </w:r>
      <w:r w:rsidR="007D4EA7">
        <w:rPr>
          <w:rStyle w:val="Hyperlink"/>
          <w:sz w:val="24"/>
          <w:szCs w:val="24"/>
          <w:lang w:val="sk-SK"/>
        </w:rPr>
        <w:fldChar w:fldCharType="end"/>
      </w:r>
      <w:r w:rsidRPr="00D41BBF">
        <w:rPr>
          <w:color w:val="000000"/>
          <w:sz w:val="24"/>
          <w:szCs w:val="24"/>
          <w:lang w:val="sk-SK"/>
        </w:rPr>
        <w:t xml:space="preserve">; </w:t>
      </w:r>
      <w:proofErr w:type="spellStart"/>
      <w:r w:rsidRPr="00D41BBF">
        <w:rPr>
          <w:color w:val="000000"/>
          <w:sz w:val="24"/>
          <w:szCs w:val="24"/>
          <w:lang w:val="sk-SK"/>
        </w:rPr>
        <w:t>Snelders</w:t>
      </w:r>
      <w:proofErr w:type="spellEnd"/>
      <w:r w:rsidRPr="00D41BBF">
        <w:rPr>
          <w:color w:val="000000"/>
          <w:sz w:val="24"/>
          <w:szCs w:val="24"/>
          <w:lang w:val="sk-SK"/>
        </w:rPr>
        <w:t xml:space="preserve">, E., </w:t>
      </w:r>
      <w:proofErr w:type="spellStart"/>
      <w:r w:rsidRPr="00D41BBF">
        <w:rPr>
          <w:color w:val="000000"/>
          <w:sz w:val="24"/>
          <w:szCs w:val="24"/>
          <w:lang w:val="sk-SK"/>
        </w:rPr>
        <w:t>Camps</w:t>
      </w:r>
      <w:proofErr w:type="spellEnd"/>
      <w:r w:rsidRPr="00D41BBF">
        <w:rPr>
          <w:color w:val="000000"/>
          <w:sz w:val="24"/>
          <w:szCs w:val="24"/>
          <w:lang w:val="sk-SK"/>
        </w:rPr>
        <w:t xml:space="preserve">, S. M. T., </w:t>
      </w:r>
      <w:proofErr w:type="spellStart"/>
      <w:r w:rsidRPr="00D41BBF">
        <w:rPr>
          <w:color w:val="000000"/>
          <w:sz w:val="24"/>
          <w:szCs w:val="24"/>
          <w:lang w:val="sk-SK"/>
        </w:rPr>
        <w:t>Karawajczyk</w:t>
      </w:r>
      <w:proofErr w:type="spellEnd"/>
      <w:r w:rsidRPr="00D41BBF">
        <w:rPr>
          <w:color w:val="000000"/>
          <w:sz w:val="24"/>
          <w:szCs w:val="24"/>
          <w:lang w:val="sk-SK"/>
        </w:rPr>
        <w:t xml:space="preserve">, A., </w:t>
      </w:r>
      <w:proofErr w:type="spellStart"/>
      <w:r w:rsidRPr="00D41BBF">
        <w:rPr>
          <w:color w:val="000000"/>
          <w:sz w:val="24"/>
          <w:szCs w:val="24"/>
          <w:lang w:val="sk-SK"/>
        </w:rPr>
        <w:t>Schaftenaar</w:t>
      </w:r>
      <w:proofErr w:type="spellEnd"/>
      <w:r w:rsidRPr="00D41BBF">
        <w:rPr>
          <w:color w:val="000000"/>
          <w:sz w:val="24"/>
          <w:szCs w:val="24"/>
          <w:lang w:val="sk-SK"/>
        </w:rPr>
        <w:t xml:space="preserve">, G., </w:t>
      </w:r>
      <w:proofErr w:type="spellStart"/>
      <w:r w:rsidRPr="00D41BBF">
        <w:rPr>
          <w:color w:val="000000"/>
          <w:sz w:val="24"/>
          <w:szCs w:val="24"/>
          <w:lang w:val="sk-SK"/>
        </w:rPr>
        <w:t>Kema</w:t>
      </w:r>
      <w:proofErr w:type="spellEnd"/>
      <w:r w:rsidRPr="00D41BBF">
        <w:rPr>
          <w:color w:val="000000"/>
          <w:sz w:val="24"/>
          <w:szCs w:val="24"/>
          <w:lang w:val="sk-SK"/>
        </w:rPr>
        <w:t xml:space="preserve">, G. H. J., van der </w:t>
      </w:r>
      <w:proofErr w:type="spellStart"/>
      <w:r w:rsidRPr="00D41BBF">
        <w:rPr>
          <w:color w:val="000000"/>
          <w:sz w:val="24"/>
          <w:szCs w:val="24"/>
          <w:lang w:val="sk-SK"/>
        </w:rPr>
        <w:t>Lee</w:t>
      </w:r>
      <w:proofErr w:type="spellEnd"/>
      <w:r w:rsidRPr="00D41BBF">
        <w:rPr>
          <w:color w:val="000000"/>
          <w:sz w:val="24"/>
          <w:szCs w:val="24"/>
          <w:lang w:val="sk-SK"/>
        </w:rPr>
        <w:t xml:space="preserve">, H. A., et al., </w:t>
      </w:r>
      <w:proofErr w:type="spellStart"/>
      <w:r w:rsidRPr="00D41BBF">
        <w:rPr>
          <w:color w:val="000000"/>
          <w:sz w:val="24"/>
          <w:szCs w:val="24"/>
          <w:lang w:val="sk-SK"/>
        </w:rPr>
        <w:t>Triazole</w:t>
      </w:r>
      <w:proofErr w:type="spellEnd"/>
      <w:r w:rsidRPr="00D41BBF">
        <w:rPr>
          <w:color w:val="000000"/>
          <w:sz w:val="24"/>
          <w:szCs w:val="24"/>
          <w:lang w:val="sk-SK"/>
        </w:rPr>
        <w:t xml:space="preserve"> </w:t>
      </w:r>
      <w:proofErr w:type="spellStart"/>
      <w:r w:rsidRPr="00D41BBF">
        <w:rPr>
          <w:color w:val="000000"/>
          <w:sz w:val="24"/>
          <w:szCs w:val="24"/>
          <w:lang w:val="sk-SK"/>
        </w:rPr>
        <w:t>Fungicides</w:t>
      </w:r>
      <w:proofErr w:type="spellEnd"/>
      <w:r w:rsidRPr="00D41BBF">
        <w:rPr>
          <w:color w:val="000000"/>
          <w:sz w:val="24"/>
          <w:szCs w:val="24"/>
          <w:lang w:val="sk-SK"/>
        </w:rPr>
        <w:t xml:space="preserve"> </w:t>
      </w:r>
      <w:proofErr w:type="spellStart"/>
      <w:r w:rsidRPr="00D41BBF">
        <w:rPr>
          <w:color w:val="000000"/>
          <w:sz w:val="24"/>
          <w:szCs w:val="24"/>
          <w:lang w:val="sk-SK"/>
        </w:rPr>
        <w:t>Can</w:t>
      </w:r>
      <w:proofErr w:type="spellEnd"/>
      <w:r w:rsidRPr="00D41BBF">
        <w:rPr>
          <w:color w:val="000000"/>
          <w:sz w:val="24"/>
          <w:szCs w:val="24"/>
          <w:lang w:val="sk-SK"/>
        </w:rPr>
        <w:t xml:space="preserve"> </w:t>
      </w:r>
      <w:proofErr w:type="spellStart"/>
      <w:r w:rsidRPr="00D41BBF">
        <w:rPr>
          <w:color w:val="000000"/>
          <w:sz w:val="24"/>
          <w:szCs w:val="24"/>
          <w:lang w:val="sk-SK"/>
        </w:rPr>
        <w:t>Induce</w:t>
      </w:r>
      <w:proofErr w:type="spellEnd"/>
      <w:r w:rsidRPr="00D41BBF">
        <w:rPr>
          <w:color w:val="000000"/>
          <w:sz w:val="24"/>
          <w:szCs w:val="24"/>
          <w:lang w:val="sk-SK"/>
        </w:rPr>
        <w:t xml:space="preserve"> </w:t>
      </w:r>
      <w:proofErr w:type="spellStart"/>
      <w:r w:rsidRPr="00D41BBF">
        <w:rPr>
          <w:color w:val="000000"/>
          <w:sz w:val="24"/>
          <w:szCs w:val="24"/>
          <w:lang w:val="sk-SK"/>
        </w:rPr>
        <w:t>cross-Resistance</w:t>
      </w:r>
      <w:proofErr w:type="spellEnd"/>
      <w:r w:rsidRPr="00D41BBF">
        <w:rPr>
          <w:color w:val="000000"/>
          <w:sz w:val="24"/>
          <w:szCs w:val="24"/>
          <w:lang w:val="sk-SK"/>
        </w:rPr>
        <w:t xml:space="preserve"> to </w:t>
      </w:r>
      <w:proofErr w:type="spellStart"/>
      <w:r w:rsidRPr="00D41BBF">
        <w:rPr>
          <w:color w:val="000000"/>
          <w:sz w:val="24"/>
          <w:szCs w:val="24"/>
          <w:lang w:val="sk-SK"/>
        </w:rPr>
        <w:t>Medical</w:t>
      </w:r>
      <w:proofErr w:type="spellEnd"/>
      <w:r w:rsidRPr="00D41BBF">
        <w:rPr>
          <w:color w:val="000000"/>
          <w:sz w:val="24"/>
          <w:szCs w:val="24"/>
          <w:lang w:val="sk-SK"/>
        </w:rPr>
        <w:t xml:space="preserve"> </w:t>
      </w:r>
      <w:proofErr w:type="spellStart"/>
      <w:r w:rsidRPr="00D41BBF">
        <w:rPr>
          <w:color w:val="000000"/>
          <w:sz w:val="24"/>
          <w:szCs w:val="24"/>
          <w:lang w:val="sk-SK"/>
        </w:rPr>
        <w:t>Triazoles</w:t>
      </w:r>
      <w:proofErr w:type="spellEnd"/>
      <w:r w:rsidRPr="00D41BBF">
        <w:rPr>
          <w:color w:val="000000"/>
          <w:sz w:val="24"/>
          <w:szCs w:val="24"/>
          <w:lang w:val="sk-SK"/>
        </w:rPr>
        <w:t xml:space="preserve"> in </w:t>
      </w:r>
      <w:proofErr w:type="spellStart"/>
      <w:r w:rsidRPr="00D41BBF">
        <w:rPr>
          <w:color w:val="000000"/>
          <w:sz w:val="24"/>
          <w:szCs w:val="24"/>
          <w:lang w:val="sk-SK"/>
        </w:rPr>
        <w:t>Aspergillus</w:t>
      </w:r>
      <w:proofErr w:type="spellEnd"/>
      <w:r w:rsidRPr="00D41BBF">
        <w:rPr>
          <w:color w:val="000000"/>
          <w:sz w:val="24"/>
          <w:szCs w:val="24"/>
          <w:lang w:val="sk-SK"/>
        </w:rPr>
        <w:t xml:space="preserve"> </w:t>
      </w:r>
      <w:proofErr w:type="spellStart"/>
      <w:r w:rsidRPr="00D41BBF">
        <w:rPr>
          <w:color w:val="000000"/>
          <w:sz w:val="24"/>
          <w:szCs w:val="24"/>
          <w:lang w:val="sk-SK"/>
        </w:rPr>
        <w:t>fumigatus</w:t>
      </w:r>
      <w:proofErr w:type="spellEnd"/>
      <w:r w:rsidRPr="00D41BBF">
        <w:rPr>
          <w:color w:val="000000"/>
          <w:sz w:val="24"/>
          <w:szCs w:val="24"/>
          <w:lang w:val="sk-SK"/>
        </w:rPr>
        <w:t xml:space="preserve"> (</w:t>
      </w:r>
      <w:proofErr w:type="spellStart"/>
      <w:r w:rsidRPr="00D41BBF">
        <w:rPr>
          <w:color w:val="000000"/>
          <w:sz w:val="24"/>
          <w:szCs w:val="24"/>
          <w:lang w:val="sk-SK"/>
        </w:rPr>
        <w:t>Triazolové</w:t>
      </w:r>
      <w:proofErr w:type="spellEnd"/>
      <w:r w:rsidRPr="00D41BBF">
        <w:rPr>
          <w:color w:val="000000"/>
          <w:sz w:val="24"/>
          <w:szCs w:val="24"/>
          <w:lang w:val="sk-SK"/>
        </w:rPr>
        <w:t xml:space="preserve"> </w:t>
      </w:r>
      <w:proofErr w:type="spellStart"/>
      <w:r w:rsidRPr="00D41BBF">
        <w:rPr>
          <w:color w:val="000000"/>
          <w:sz w:val="24"/>
          <w:szCs w:val="24"/>
          <w:lang w:val="sk-SK"/>
        </w:rPr>
        <w:t>fungicídy</w:t>
      </w:r>
      <w:proofErr w:type="spellEnd"/>
      <w:r w:rsidRPr="00D41BBF">
        <w:rPr>
          <w:color w:val="000000"/>
          <w:sz w:val="24"/>
          <w:szCs w:val="24"/>
          <w:lang w:val="sk-SK"/>
        </w:rPr>
        <w:t xml:space="preserve"> môžu spôsobiť krížovú rezistenciu druhu </w:t>
      </w:r>
      <w:proofErr w:type="spellStart"/>
      <w:r w:rsidRPr="00D41BBF">
        <w:rPr>
          <w:color w:val="000000"/>
          <w:sz w:val="24"/>
          <w:szCs w:val="24"/>
          <w:lang w:val="sk-SK"/>
        </w:rPr>
        <w:t>Aspergillus</w:t>
      </w:r>
      <w:proofErr w:type="spellEnd"/>
      <w:r w:rsidRPr="00D41BBF">
        <w:rPr>
          <w:color w:val="000000"/>
          <w:sz w:val="24"/>
          <w:szCs w:val="24"/>
          <w:lang w:val="sk-SK"/>
        </w:rPr>
        <w:t xml:space="preserve"> </w:t>
      </w:r>
      <w:proofErr w:type="spellStart"/>
      <w:r w:rsidRPr="00D41BBF">
        <w:rPr>
          <w:color w:val="000000"/>
          <w:sz w:val="24"/>
          <w:szCs w:val="24"/>
          <w:lang w:val="sk-SK"/>
        </w:rPr>
        <w:t>fumigatus</w:t>
      </w:r>
      <w:proofErr w:type="spellEnd"/>
      <w:r w:rsidRPr="00D41BBF">
        <w:rPr>
          <w:color w:val="000000"/>
          <w:sz w:val="24"/>
          <w:szCs w:val="24"/>
          <w:lang w:val="sk-SK"/>
        </w:rPr>
        <w:t xml:space="preserve"> voči </w:t>
      </w:r>
      <w:proofErr w:type="spellStart"/>
      <w:r w:rsidRPr="00D41BBF">
        <w:rPr>
          <w:color w:val="000000"/>
          <w:sz w:val="24"/>
          <w:szCs w:val="24"/>
          <w:lang w:val="sk-SK"/>
        </w:rPr>
        <w:t>triazolom</w:t>
      </w:r>
      <w:proofErr w:type="spellEnd"/>
      <w:r w:rsidRPr="00D41BBF">
        <w:rPr>
          <w:color w:val="000000"/>
          <w:sz w:val="24"/>
          <w:szCs w:val="24"/>
          <w:lang w:val="sk-SK"/>
        </w:rPr>
        <w:t xml:space="preserve"> používaným v medicíne). </w:t>
      </w:r>
      <w:proofErr w:type="spellStart"/>
      <w:r w:rsidRPr="00D41BBF">
        <w:rPr>
          <w:color w:val="000000"/>
          <w:sz w:val="24"/>
          <w:szCs w:val="24"/>
          <w:lang w:val="sk-SK"/>
        </w:rPr>
        <w:t>PLoS</w:t>
      </w:r>
      <w:proofErr w:type="spellEnd"/>
      <w:r w:rsidRPr="00D41BBF">
        <w:rPr>
          <w:color w:val="000000"/>
          <w:sz w:val="24"/>
          <w:szCs w:val="24"/>
          <w:lang w:val="sk-SK"/>
        </w:rPr>
        <w:t xml:space="preserve"> ONE 2012, článok 7 ods. 3: e31801. https://doi.org/10.1371/journal.pone.0031801.</w:t>
      </w:r>
    </w:p>
  </w:footnote>
  <w:footnote w:id="14">
    <w:p w:rsidR="009F6EE7" w:rsidRPr="00D41BBF" w:rsidRDefault="009F6EE7" w:rsidP="006B5136">
      <w:pPr>
        <w:pStyle w:val="FootnoteText"/>
        <w:ind w:left="567" w:hanging="567"/>
        <w:rPr>
          <w:sz w:val="24"/>
          <w:szCs w:val="24"/>
          <w:lang w:val="sk-SK"/>
        </w:rPr>
      </w:pPr>
      <w:r w:rsidRPr="00D41BBF">
        <w:rPr>
          <w:rStyle w:val="FootnoteReference"/>
          <w:sz w:val="24"/>
          <w:szCs w:val="24"/>
          <w:lang w:val="sk-SK"/>
        </w:rPr>
        <w:footnoteRef/>
      </w:r>
      <w:r w:rsidR="006B5136" w:rsidRPr="00D41BBF">
        <w:rPr>
          <w:sz w:val="24"/>
          <w:szCs w:val="24"/>
          <w:lang w:val="sk-SK"/>
        </w:rPr>
        <w:t xml:space="preserve"> </w:t>
      </w:r>
      <w:r w:rsidR="006B5136" w:rsidRPr="00D41BBF">
        <w:rPr>
          <w:sz w:val="24"/>
          <w:szCs w:val="24"/>
          <w:lang w:val="sk-SK"/>
        </w:rPr>
        <w:tab/>
      </w:r>
      <w:r w:rsidR="007D4EA7">
        <w:fldChar w:fldCharType="begin"/>
      </w:r>
      <w:r w:rsidR="007D4EA7" w:rsidRPr="007D4EA7">
        <w:rPr>
          <w:lang w:val="sk-SK"/>
        </w:rPr>
        <w:instrText xml:space="preserve"> HYPERLINK "https://open.efsa.europa.eu/question/EFSA-Q-2022-00040" </w:instrText>
      </w:r>
      <w:r w:rsidR="007D4EA7">
        <w:fldChar w:fldCharType="separate"/>
      </w:r>
      <w:r w:rsidRPr="00D41BBF">
        <w:rPr>
          <w:rStyle w:val="Hyperlink"/>
          <w:sz w:val="24"/>
          <w:szCs w:val="24"/>
          <w:lang w:val="sk-SK"/>
        </w:rPr>
        <w:t>https://open.efsa.europa.eu/question/EFSA-Q-2022-00040</w:t>
      </w:r>
      <w:r w:rsidR="007D4EA7">
        <w:rPr>
          <w:rStyle w:val="Hyperlink"/>
          <w:sz w:val="24"/>
          <w:szCs w:val="24"/>
          <w:lang w:val="sk-SK"/>
        </w:rPr>
        <w:fldChar w:fldCharType="end"/>
      </w:r>
      <w:r w:rsidRPr="00D41BBF">
        <w:rPr>
          <w:sz w:val="24"/>
          <w:szCs w:val="24"/>
          <w:lang w:val="sk-SK"/>
        </w:rPr>
        <w:t>.</w:t>
      </w:r>
    </w:p>
  </w:footnote>
  <w:footnote w:id="15">
    <w:p w:rsidR="009F6EE7" w:rsidRPr="00D41BBF" w:rsidRDefault="009F6EE7" w:rsidP="006B5136">
      <w:pPr>
        <w:pStyle w:val="FootnoteText"/>
        <w:ind w:left="567" w:hanging="567"/>
        <w:rPr>
          <w:sz w:val="24"/>
          <w:szCs w:val="24"/>
          <w:lang w:val="sk-SK"/>
        </w:rPr>
      </w:pPr>
      <w:r w:rsidRPr="00D41BBF">
        <w:rPr>
          <w:rStyle w:val="FootnoteReference"/>
          <w:sz w:val="24"/>
          <w:szCs w:val="24"/>
          <w:lang w:val="sk-SK"/>
        </w:rPr>
        <w:footnoteRef/>
      </w:r>
      <w:r w:rsidR="006B5136" w:rsidRPr="00D41BBF">
        <w:rPr>
          <w:sz w:val="24"/>
          <w:szCs w:val="24"/>
          <w:lang w:val="sk-SK"/>
        </w:rPr>
        <w:t xml:space="preserve"> </w:t>
      </w:r>
      <w:r w:rsidR="006B5136" w:rsidRPr="00D41BBF">
        <w:rPr>
          <w:sz w:val="24"/>
          <w:szCs w:val="24"/>
          <w:lang w:val="sk-SK"/>
        </w:rPr>
        <w:tab/>
      </w:r>
      <w:r w:rsidR="007D4EA7">
        <w:fldChar w:fldCharType="begin"/>
      </w:r>
      <w:r w:rsidR="007D4EA7" w:rsidRPr="007D4EA7">
        <w:rPr>
          <w:lang w:val="sk-SK"/>
        </w:rPr>
        <w:instrText xml:space="preserve"> HYPERLINK "https://ec.europa.</w:instrText>
      </w:r>
      <w:r w:rsidR="007D4EA7" w:rsidRPr="007D4EA7">
        <w:rPr>
          <w:lang w:val="sk-SK"/>
        </w:rPr>
        <w:instrText xml:space="preserve">eu/transparency/comitology-register/screen/documents/089880/5/consult?lang=sk" </w:instrText>
      </w:r>
      <w:r w:rsidR="007D4EA7">
        <w:fldChar w:fldCharType="separate"/>
      </w:r>
      <w:r w:rsidRPr="00D41BBF">
        <w:rPr>
          <w:rStyle w:val="Hyperlink"/>
          <w:sz w:val="24"/>
          <w:szCs w:val="24"/>
          <w:lang w:val="sk-SK"/>
        </w:rPr>
        <w:t>https://ec.europa.eu/transparency/comitology-register/screen/documents/089880/5/consult?lang=sk</w:t>
      </w:r>
      <w:r w:rsidR="007D4EA7">
        <w:rPr>
          <w:rStyle w:val="Hyperlink"/>
          <w:sz w:val="24"/>
          <w:szCs w:val="24"/>
          <w:lang w:val="sk-SK"/>
        </w:rPr>
        <w:fldChar w:fldCharType="end"/>
      </w:r>
      <w:r w:rsidRPr="00D41BBF">
        <w:rPr>
          <w:rStyle w:val="Hyperlink"/>
          <w:sz w:val="24"/>
          <w:szCs w:val="24"/>
          <w:lang w:val="sk-SK"/>
        </w:rPr>
        <w:t>.</w:t>
      </w:r>
      <w:r w:rsidRPr="00D41BBF">
        <w:rPr>
          <w:sz w:val="24"/>
          <w:szCs w:val="24"/>
          <w:lang w:val="sk-SK"/>
        </w:rPr>
        <w:t xml:space="preserve"> </w:t>
      </w:r>
    </w:p>
  </w:footnote>
  <w:footnote w:id="16">
    <w:p w:rsidR="009F6EE7" w:rsidRPr="00D41BBF" w:rsidRDefault="009F6EE7" w:rsidP="006B5136">
      <w:pPr>
        <w:pStyle w:val="FootnoteText"/>
        <w:ind w:left="567" w:hanging="567"/>
        <w:rPr>
          <w:sz w:val="24"/>
          <w:szCs w:val="24"/>
          <w:lang w:val="sk-SK"/>
        </w:rPr>
      </w:pPr>
      <w:r w:rsidRPr="00D41BBF">
        <w:rPr>
          <w:sz w:val="24"/>
          <w:szCs w:val="24"/>
          <w:vertAlign w:val="superscript"/>
          <w:lang w:val="sk-SK"/>
        </w:rPr>
        <w:footnoteRef/>
      </w:r>
      <w:r w:rsidR="006B5136" w:rsidRPr="00D41BBF">
        <w:rPr>
          <w:sz w:val="24"/>
          <w:szCs w:val="24"/>
          <w:lang w:val="sk-SK"/>
        </w:rPr>
        <w:t xml:space="preserve"> </w:t>
      </w:r>
      <w:r w:rsidR="006B5136" w:rsidRPr="00D41BBF">
        <w:rPr>
          <w:sz w:val="24"/>
          <w:szCs w:val="24"/>
          <w:lang w:val="sk-SK"/>
        </w:rPr>
        <w:tab/>
      </w:r>
      <w:r w:rsidRPr="00D41BBF">
        <w:rPr>
          <w:sz w:val="24"/>
          <w:szCs w:val="24"/>
          <w:lang w:val="sk-SK"/>
        </w:rPr>
        <w:t>COM(2020)0381.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51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51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51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1/2024"/>
    <w:docVar w:name="dvlangue" w:val="SK"/>
    <w:docVar w:name="dvnumam" w:val="0"/>
    <w:docVar w:name="dvpe" w:val="763.091"/>
    <w:docVar w:name="dvtitre" w:val="Uznesenie Európskeho parlamentu z xx. septembra 2024 o návrhu nariadenia Komisie, ktorým sa menia prílohy II a III k nariadeniu Európskeho parlamentu a Rady (ES) č. 396/2005, pokiaľ ide o maximálne hladiny rezíduí cyprokonazolu a spirodiklofénu v určitých produktoch alebo na nich(D091952/05 – 2024/2759(RPS))"/>
  </w:docVars>
  <w:rsids>
    <w:rsidRoot w:val="00D37DA5"/>
    <w:rsid w:val="00002272"/>
    <w:rsid w:val="00064002"/>
    <w:rsid w:val="000670E5"/>
    <w:rsid w:val="000677B9"/>
    <w:rsid w:val="000831BA"/>
    <w:rsid w:val="000A42CC"/>
    <w:rsid w:val="000E7DD9"/>
    <w:rsid w:val="0010095E"/>
    <w:rsid w:val="00125B37"/>
    <w:rsid w:val="00187494"/>
    <w:rsid w:val="001D7D52"/>
    <w:rsid w:val="001F32AE"/>
    <w:rsid w:val="002767FF"/>
    <w:rsid w:val="002B18FE"/>
    <w:rsid w:val="002B5493"/>
    <w:rsid w:val="00343214"/>
    <w:rsid w:val="00361C00"/>
    <w:rsid w:val="0036335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5136"/>
    <w:rsid w:val="006B7997"/>
    <w:rsid w:val="006F74FA"/>
    <w:rsid w:val="00731ADD"/>
    <w:rsid w:val="00734777"/>
    <w:rsid w:val="00747932"/>
    <w:rsid w:val="00751A4A"/>
    <w:rsid w:val="00756632"/>
    <w:rsid w:val="00762C74"/>
    <w:rsid w:val="00786EC0"/>
    <w:rsid w:val="007D1690"/>
    <w:rsid w:val="007D4EA7"/>
    <w:rsid w:val="007E22AD"/>
    <w:rsid w:val="00817416"/>
    <w:rsid w:val="00842779"/>
    <w:rsid w:val="00865F67"/>
    <w:rsid w:val="00881A7B"/>
    <w:rsid w:val="008840E5"/>
    <w:rsid w:val="00887B3E"/>
    <w:rsid w:val="008C2AC6"/>
    <w:rsid w:val="00930C23"/>
    <w:rsid w:val="0093193B"/>
    <w:rsid w:val="009509D8"/>
    <w:rsid w:val="00950B64"/>
    <w:rsid w:val="00981893"/>
    <w:rsid w:val="009F6EE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7DA5"/>
    <w:rsid w:val="00D41BBF"/>
    <w:rsid w:val="00D56C11"/>
    <w:rsid w:val="00D72D6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563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90289E"/>
  <w15:chartTrackingRefBased/>
  <w15:docId w15:val="{834C80C2-FD92-45AB-95F0-8457BF0AC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F6EE7"/>
    <w:pPr>
      <w:spacing w:before="480" w:after="240"/>
    </w:pPr>
  </w:style>
  <w:style w:type="paragraph" w:customStyle="1" w:styleId="NormalHanging12a">
    <w:name w:val="NormalHanging12a"/>
    <w:basedOn w:val="Normal"/>
    <w:uiPriority w:val="99"/>
    <w:rsid w:val="009F6EE7"/>
    <w:pPr>
      <w:spacing w:after="240"/>
      <w:ind w:left="567" w:hanging="567"/>
    </w:pPr>
  </w:style>
  <w:style w:type="character" w:styleId="Hyperlink">
    <w:name w:val="Hyperlink"/>
    <w:basedOn w:val="DefaultParagraphFont"/>
    <w:uiPriority w:val="99"/>
    <w:rsid w:val="009F6E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6DC07-0CFE-4C2F-9DBF-3351B4B0C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1828</Words>
  <Characters>10577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DINGA-SUPOVA Lucia</cp:lastModifiedBy>
  <cp:revision>2</cp:revision>
  <cp:lastPrinted>2004-11-19T15:42:00Z</cp:lastPrinted>
  <dcterms:created xsi:type="dcterms:W3CDTF">2024-10-23T08:43:00Z</dcterms:created>
  <dcterms:modified xsi:type="dcterms:W3CDTF">2024-10-23T08:43:00Z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B10-0021/2024</vt:lpwstr>
  </property>
  <property fmtid="{D5CDD505-2E9C-101B-9397-08002B2CF9AE}" pid="4" name="&lt;Type&gt;">
    <vt:lpwstr>RR</vt:lpwstr>
  </property>
</Properties>
</file>