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73FA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3FA9" w:rsidRDefault="00176538" w:rsidP="0010095E">
            <w:pPr>
              <w:pStyle w:val="EPName"/>
            </w:pPr>
            <w:r w:rsidRPr="00273FA9">
              <w:t>Evropski parlament</w:t>
            </w:r>
          </w:p>
          <w:p w:rsidR="00751A4A" w:rsidRPr="00273FA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3FA9">
              <w:t>2024</w:t>
            </w:r>
            <w:r w:rsidR="00817416" w:rsidRPr="00273FA9">
              <w:t>-202</w:t>
            </w:r>
            <w:r w:rsidRPr="00273FA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73FA9" w:rsidRDefault="00187494" w:rsidP="0010095E">
            <w:pPr>
              <w:pStyle w:val="EPLogo"/>
            </w:pPr>
            <w:r w:rsidRPr="00273FA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3FA9" w:rsidRDefault="00D058B8" w:rsidP="004C5D52">
      <w:pPr>
        <w:pStyle w:val="LineTop"/>
      </w:pPr>
    </w:p>
    <w:p w:rsidR="00680577" w:rsidRPr="00273FA9" w:rsidRDefault="00176538" w:rsidP="00680577">
      <w:pPr>
        <w:pStyle w:val="EPBodyTA1"/>
      </w:pPr>
      <w:r w:rsidRPr="00273FA9">
        <w:t>SPREJETA BESEDILA</w:t>
      </w:r>
    </w:p>
    <w:p w:rsidR="00D058B8" w:rsidRPr="00273FA9" w:rsidRDefault="00D058B8" w:rsidP="00D058B8">
      <w:pPr>
        <w:pStyle w:val="LineBottom"/>
      </w:pPr>
    </w:p>
    <w:p w:rsidR="00176538" w:rsidRPr="00273FA9" w:rsidRDefault="00176538" w:rsidP="00176538">
      <w:pPr>
        <w:pStyle w:val="ATHeading1"/>
      </w:pPr>
      <w:bookmarkStart w:id="0" w:name="TANumber"/>
      <w:r w:rsidRPr="00273FA9">
        <w:t>P10_TA(2024)</w:t>
      </w:r>
      <w:bookmarkEnd w:id="0"/>
      <w:r w:rsidR="00DD365C">
        <w:t>0007</w:t>
      </w:r>
    </w:p>
    <w:p w:rsidR="00176538" w:rsidRPr="00273FA9" w:rsidRDefault="00B618AE" w:rsidP="00DD365C">
      <w:pPr>
        <w:pStyle w:val="ATHeading2"/>
      </w:pPr>
      <w:bookmarkStart w:id="1" w:name="title"/>
      <w:r>
        <w:t xml:space="preserve">Nasprotovanje izvedbenemu aktu: </w:t>
      </w:r>
      <w:r w:rsidR="00DD365C">
        <w:t xml:space="preserve">mejne vrednosti ostankov za </w:t>
      </w:r>
      <w:proofErr w:type="spellStart"/>
      <w:r w:rsidR="00DD365C">
        <w:t>ciprokonazol</w:t>
      </w:r>
      <w:bookmarkEnd w:id="1"/>
      <w:proofErr w:type="spellEnd"/>
    </w:p>
    <w:p w:rsidR="00176538" w:rsidRPr="00273FA9" w:rsidRDefault="00176538" w:rsidP="00176538">
      <w:pPr>
        <w:rPr>
          <w:i/>
          <w:vanish/>
        </w:rPr>
      </w:pPr>
      <w:r w:rsidRPr="00273FA9">
        <w:rPr>
          <w:i/>
        </w:rPr>
        <w:fldChar w:fldCharType="begin"/>
      </w:r>
      <w:r w:rsidRPr="00273FA9">
        <w:rPr>
          <w:i/>
        </w:rPr>
        <w:instrText xml:space="preserve"> TC"(</w:instrText>
      </w:r>
      <w:bookmarkStart w:id="2" w:name="DocNumber"/>
      <w:r w:rsidRPr="00273FA9">
        <w:rPr>
          <w:i/>
        </w:rPr>
        <w:instrText>B10-0021/2024</w:instrText>
      </w:r>
      <w:bookmarkEnd w:id="2"/>
      <w:r w:rsidRPr="00273FA9">
        <w:rPr>
          <w:i/>
        </w:rPr>
        <w:instrText xml:space="preserve">)"\l3 \n&gt; \* MERGEFORMAT </w:instrText>
      </w:r>
      <w:r w:rsidRPr="00273FA9">
        <w:rPr>
          <w:i/>
        </w:rPr>
        <w:fldChar w:fldCharType="end"/>
      </w:r>
    </w:p>
    <w:p w:rsidR="00176538" w:rsidRPr="00273FA9" w:rsidRDefault="00176538" w:rsidP="00176538">
      <w:pPr>
        <w:rPr>
          <w:vanish/>
        </w:rPr>
      </w:pPr>
      <w:bookmarkStart w:id="3" w:name="PE"/>
      <w:r w:rsidRPr="00273FA9">
        <w:rPr>
          <w:vanish/>
        </w:rPr>
        <w:t>PE763.091</w:t>
      </w:r>
      <w:bookmarkEnd w:id="3"/>
    </w:p>
    <w:p w:rsidR="00176538" w:rsidRPr="00273FA9" w:rsidRDefault="00176538" w:rsidP="00176538">
      <w:pPr>
        <w:pStyle w:val="ATHeading3"/>
      </w:pPr>
      <w:bookmarkStart w:id="4" w:name="Sujet"/>
      <w:r w:rsidRPr="00273FA9">
        <w:t xml:space="preserve">Resolucija Evropskega parlamenta z dne </w:t>
      </w:r>
      <w:r w:rsidR="00B618AE">
        <w:t>18.</w:t>
      </w:r>
      <w:r w:rsidRPr="00273FA9">
        <w:t xml:space="preserve"> </w:t>
      </w:r>
      <w:r w:rsidR="00B618AE">
        <w:t xml:space="preserve">septembra </w:t>
      </w:r>
      <w:r w:rsidRPr="00273FA9">
        <w:t xml:space="preserve">2024 o osnutku uredbe Komisije o spremembi prilog II in III k Uredbi Evropskega parlamenta in Sveta (ES) št. 396/2005 glede mejnih vrednosti ostankov za </w:t>
      </w:r>
      <w:proofErr w:type="spellStart"/>
      <w:r w:rsidRPr="00273FA9">
        <w:t>ciprokonazol</w:t>
      </w:r>
      <w:proofErr w:type="spellEnd"/>
      <w:r w:rsidRPr="00273FA9">
        <w:t xml:space="preserve"> in </w:t>
      </w:r>
      <w:proofErr w:type="spellStart"/>
      <w:r w:rsidRPr="00273FA9">
        <w:t>spirodiklofen</w:t>
      </w:r>
      <w:proofErr w:type="spellEnd"/>
      <w:r w:rsidRPr="00273FA9">
        <w:t xml:space="preserve"> v ali na nekaterih proizvodih</w:t>
      </w:r>
      <w:bookmarkEnd w:id="4"/>
      <w:r w:rsidRPr="00273FA9">
        <w:t xml:space="preserve"> </w:t>
      </w:r>
      <w:bookmarkStart w:id="5" w:name="References"/>
      <w:r w:rsidRPr="00273FA9">
        <w:t>(D091952/05 – 2024/2759(RPS))</w:t>
      </w:r>
      <w:bookmarkEnd w:id="5"/>
    </w:p>
    <w:p w:rsidR="00E64774" w:rsidRPr="00273FA9" w:rsidRDefault="00E64774" w:rsidP="00E64774">
      <w:pPr>
        <w:pStyle w:val="EPComma"/>
      </w:pPr>
      <w:bookmarkStart w:id="6" w:name="TextBodyBegin"/>
      <w:bookmarkEnd w:id="6"/>
      <w:r w:rsidRPr="00273FA9">
        <w:rPr>
          <w:i/>
        </w:rPr>
        <w:t>Evropski parlament</w:t>
      </w:r>
      <w:r w:rsidRPr="00273FA9">
        <w:t>,</w:t>
      </w:r>
    </w:p>
    <w:p w:rsidR="00E64774" w:rsidRPr="00273FA9" w:rsidRDefault="00E64774" w:rsidP="00E64774">
      <w:pPr>
        <w:pStyle w:val="NormalHanging12a"/>
      </w:pPr>
      <w:r w:rsidRPr="00273FA9">
        <w:t>–</w:t>
      </w:r>
      <w:r w:rsidRPr="00273FA9">
        <w:tab/>
        <w:t xml:space="preserve">ob upoštevanju Uredbe Komisije o spremembi prilog II in III k Uredbi Evropskega parlamenta in Sveta (ES) št. 396/2005 Evropskega parlamenta in Sveta glede mejnih vrednosti ostankov za </w:t>
      </w:r>
      <w:proofErr w:type="spellStart"/>
      <w:r w:rsidRPr="00273FA9">
        <w:t>ciprokonazol</w:t>
      </w:r>
      <w:proofErr w:type="spellEnd"/>
      <w:r w:rsidRPr="00273FA9">
        <w:t xml:space="preserve"> in </w:t>
      </w:r>
      <w:proofErr w:type="spellStart"/>
      <w:r w:rsidRPr="00273FA9">
        <w:t>spirodiklofen</w:t>
      </w:r>
      <w:proofErr w:type="spellEnd"/>
      <w:r w:rsidRPr="00273FA9">
        <w:t xml:space="preserve"> v ali na nekaterih proizvodih (D091952/05),</w:t>
      </w:r>
    </w:p>
    <w:p w:rsidR="00E64774" w:rsidRPr="00273FA9" w:rsidRDefault="00E64774" w:rsidP="00E64774">
      <w:pPr>
        <w:pStyle w:val="NormalHanging12a"/>
        <w:rPr>
          <w:szCs w:val="24"/>
        </w:rPr>
      </w:pPr>
      <w:r w:rsidRPr="00273FA9">
        <w:t>–</w:t>
      </w:r>
      <w:r w:rsidRPr="00273FA9">
        <w:tab/>
        <w:t>ob upoštevanju Uredbe Evropskega parlamenta in Sveta (ES) št. 396/2005 z dne 23. februarja 2005 o mejnih vrednostih ostankov pesticidov v ali na hrani in krmi rastlinskega in živalskega izvora ter o spremembi Direktive Sveta 91/414/EGS</w:t>
      </w:r>
      <w:r w:rsidRPr="00273FA9">
        <w:rPr>
          <w:rStyle w:val="FootnoteReference"/>
        </w:rPr>
        <w:footnoteReference w:id="1"/>
      </w:r>
      <w:r w:rsidRPr="00273FA9">
        <w:t xml:space="preserve"> ter zlasti člena 14(1), točka (a), in člena 49(2) Uredbe,</w:t>
      </w:r>
    </w:p>
    <w:p w:rsidR="00E64774" w:rsidRPr="00273FA9" w:rsidRDefault="00E64774" w:rsidP="00E64774">
      <w:pPr>
        <w:pStyle w:val="NormalHanging12a"/>
        <w:rPr>
          <w:szCs w:val="24"/>
        </w:rPr>
      </w:pPr>
      <w:r w:rsidRPr="00273FA9">
        <w:t>–</w:t>
      </w:r>
      <w:r w:rsidRPr="00273FA9">
        <w:tab/>
        <w:t>ob upoštevanju Uredbe (ES) št. 1107/2009 Evropskega parlamenta in Sveta z dne 21. oktobra 2009 o dajanju fitofarmacevtskih sredstev v promet in razveljavitvi direktiv Sveta 79/117/EGS in 91/414/EGS</w:t>
      </w:r>
      <w:r w:rsidRPr="00273FA9">
        <w:rPr>
          <w:rStyle w:val="FootnoteReference"/>
          <w:szCs w:val="24"/>
        </w:rPr>
        <w:footnoteReference w:id="2"/>
      </w:r>
      <w:r w:rsidRPr="00273FA9">
        <w:t xml:space="preserve"> ter zlasti člena 4(1) in člena 4(2), prvi pododstavek, točka (a), ter točke 3.6.4 Priloge II,</w:t>
      </w:r>
    </w:p>
    <w:p w:rsidR="00E64774" w:rsidRPr="00273FA9" w:rsidRDefault="00E64774" w:rsidP="00E64774">
      <w:pPr>
        <w:pStyle w:val="NormalHanging12a"/>
        <w:rPr>
          <w:szCs w:val="24"/>
        </w:rPr>
      </w:pPr>
      <w:r w:rsidRPr="00273FA9">
        <w:t>–</w:t>
      </w:r>
      <w:r w:rsidRPr="00273FA9">
        <w:tab/>
        <w:t>ob upoštevanju Uredbe (ES) št. 178/2002 Evropskega parlamenta in Sveta z dne 28. januarja 2002 o določitvi splošnih načel in zahtevah živilske zakonodaje, ustanovitvi Evropske agencije za varnost hrane in postopkih, ki zadevajo varnost hrane</w:t>
      </w:r>
      <w:r w:rsidRPr="00273FA9">
        <w:rPr>
          <w:rStyle w:val="FootnoteReference"/>
          <w:szCs w:val="24"/>
        </w:rPr>
        <w:footnoteReference w:id="3"/>
      </w:r>
      <w:r w:rsidRPr="00273FA9">
        <w:t>, ter zlasti člena 5(1) Uredbe,</w:t>
      </w:r>
    </w:p>
    <w:p w:rsidR="00E64774" w:rsidRPr="00273FA9" w:rsidRDefault="00E64774" w:rsidP="00E64774">
      <w:pPr>
        <w:pStyle w:val="NormalHanging12a"/>
        <w:rPr>
          <w:szCs w:val="24"/>
        </w:rPr>
      </w:pPr>
      <w:r w:rsidRPr="00273FA9">
        <w:t>–</w:t>
      </w:r>
      <w:r w:rsidRPr="00273FA9">
        <w:tab/>
        <w:t>ob upoštevanju členov 11, 13, 168 in 191 Pogodbe o delovanju Evropske unije (PDEU),</w:t>
      </w:r>
    </w:p>
    <w:p w:rsidR="00E64774" w:rsidRPr="00273FA9" w:rsidRDefault="00E64774" w:rsidP="00E64774">
      <w:pPr>
        <w:pStyle w:val="NormalHanging12a"/>
      </w:pPr>
      <w:r w:rsidRPr="00273FA9">
        <w:t>–</w:t>
      </w:r>
      <w:r w:rsidRPr="00273FA9">
        <w:tab/>
        <w:t xml:space="preserve">ob upoštevanju obrazloženega mnenja, ki ga je Evropska agencija za varnost hrane </w:t>
      </w:r>
      <w:r w:rsidRPr="00273FA9">
        <w:lastRenderedPageBreak/>
        <w:t>(EFSA) sprejela 19. februarja 2021 in je bilo objavljeno 22. marca 2021</w:t>
      </w:r>
      <w:r w:rsidRPr="00273FA9">
        <w:rPr>
          <w:rStyle w:val="FootnoteReference"/>
          <w:szCs w:val="24"/>
        </w:rPr>
        <w:footnoteReference w:id="4"/>
      </w:r>
      <w:r w:rsidRPr="00273FA9">
        <w:t>,</w:t>
      </w:r>
    </w:p>
    <w:p w:rsidR="00E64774" w:rsidRPr="00273FA9" w:rsidRDefault="00E64774" w:rsidP="00E64774">
      <w:pPr>
        <w:pStyle w:val="NormalHanging12a"/>
        <w:rPr>
          <w:szCs w:val="24"/>
        </w:rPr>
      </w:pPr>
      <w:r w:rsidRPr="00273FA9">
        <w:t>–</w:t>
      </w:r>
      <w:r w:rsidRPr="00273FA9">
        <w:tab/>
        <w:t>ob upoštevanju sklepa o strokovnem pregledu pesticidov, ki ga je agencija EFSA odobrila 8. novembra 2010 in je bil objavljen 25. novembra 2010</w:t>
      </w:r>
      <w:r w:rsidRPr="00273FA9">
        <w:rPr>
          <w:rStyle w:val="FootnoteReference"/>
        </w:rPr>
        <w:footnoteReference w:id="5"/>
      </w:r>
      <w:r w:rsidRPr="00273FA9">
        <w:t>,</w:t>
      </w:r>
    </w:p>
    <w:p w:rsidR="00E64774" w:rsidRPr="00273FA9" w:rsidRDefault="00E64774" w:rsidP="00E64774">
      <w:pPr>
        <w:pStyle w:val="NormalHanging12a"/>
        <w:rPr>
          <w:szCs w:val="24"/>
        </w:rPr>
      </w:pPr>
      <w:r w:rsidRPr="00273FA9">
        <w:t>–</w:t>
      </w:r>
      <w:r w:rsidRPr="00273FA9">
        <w:tab/>
        <w:t>ob upoštevanju mnenja, ki ga je 11. septembra 2015</w:t>
      </w:r>
      <w:r w:rsidRPr="00273FA9">
        <w:rPr>
          <w:rStyle w:val="FootnoteReference"/>
          <w:szCs w:val="24"/>
        </w:rPr>
        <w:footnoteReference w:id="6"/>
      </w:r>
      <w:r w:rsidRPr="00273FA9">
        <w:t xml:space="preserve"> sprejel Odbor za oceno tveganja pri Evropski agenciji za kemikalije (ECHA),</w:t>
      </w:r>
    </w:p>
    <w:p w:rsidR="00E64774" w:rsidRPr="00273FA9" w:rsidRDefault="00E64774" w:rsidP="00E64774">
      <w:pPr>
        <w:pStyle w:val="NormalHanging12a"/>
      </w:pPr>
      <w:r w:rsidRPr="00273FA9">
        <w:t>–</w:t>
      </w:r>
      <w:r w:rsidRPr="00273FA9">
        <w:tab/>
        <w:t>ob upoštevanju člena 5a(3), točka (b), in člena 5a(5) Sklepa Sveta 1999/468/ES z dne 28. junija 1999 o določitvi postopkov za uresničevanje Komisiji podeljenih izvedbenih pooblastil</w:t>
      </w:r>
      <w:r w:rsidRPr="00273FA9">
        <w:rPr>
          <w:rStyle w:val="FootnoteReference"/>
        </w:rPr>
        <w:footnoteReference w:id="7"/>
      </w:r>
      <w:r w:rsidRPr="00273FA9">
        <w:t>,</w:t>
      </w:r>
    </w:p>
    <w:p w:rsidR="00E64774" w:rsidRPr="00273FA9" w:rsidRDefault="00E64774" w:rsidP="00E64774">
      <w:pPr>
        <w:pStyle w:val="NormalHanging12a"/>
      </w:pPr>
      <w:r w:rsidRPr="00273FA9">
        <w:t>–</w:t>
      </w:r>
      <w:r w:rsidRPr="00273FA9">
        <w:tab/>
        <w:t>ob upoštevanju člena 115(2), (3) in (4)(c) Poslovnika,</w:t>
      </w:r>
    </w:p>
    <w:p w:rsidR="00E64774" w:rsidRPr="00273FA9" w:rsidRDefault="00E64774" w:rsidP="00E64774">
      <w:pPr>
        <w:pStyle w:val="NormalHanging12a"/>
      </w:pPr>
      <w:r w:rsidRPr="00273FA9">
        <w:t>–</w:t>
      </w:r>
      <w:r w:rsidRPr="00273FA9">
        <w:tab/>
        <w:t>ob upoštevanju predloga resolucije Odbora za okolje, javno zdravje in varnost hrane,</w:t>
      </w:r>
    </w:p>
    <w:p w:rsidR="00E64774" w:rsidRPr="00273FA9" w:rsidRDefault="00E64774" w:rsidP="00E64774">
      <w:pPr>
        <w:pStyle w:val="NormalHanging12a"/>
      </w:pPr>
      <w:r w:rsidRPr="00273FA9">
        <w:t>A.</w:t>
      </w:r>
      <w:r w:rsidRPr="00273FA9">
        <w:tab/>
        <w:t>ker je bila ena od glavnih zahtev na protestih kmetov, ki so potekali v prvi polovici leta 2024, poštena in enaka obravnava proizvodov, uvoženih iz tretjih držav, saj bi zanje morali veljati enaki standardi kot za proizvode, proizvedene v Uniji;</w:t>
      </w:r>
    </w:p>
    <w:p w:rsidR="00E64774" w:rsidRPr="00273FA9" w:rsidRDefault="00E64774" w:rsidP="00E64774">
      <w:pPr>
        <w:pStyle w:val="NormalHanging12a"/>
      </w:pPr>
      <w:r w:rsidRPr="00273FA9">
        <w:t>B.</w:t>
      </w:r>
      <w:r w:rsidRPr="00273FA9">
        <w:tab/>
        <w:t>ker bi sprejetje osnutka uredbe Komisije pomenilo, da bi se smeli v Unijo uvažati proizvodi, ki niso v skladu s standardi, ki jih morajo upoštevati kmetje v EU;</w:t>
      </w:r>
    </w:p>
    <w:p w:rsidR="00E64774" w:rsidRPr="00273FA9" w:rsidRDefault="00E64774" w:rsidP="00E64774">
      <w:pPr>
        <w:pStyle w:val="NormalHanging12a"/>
      </w:pPr>
      <w:r w:rsidRPr="00273FA9">
        <w:t>C.</w:t>
      </w:r>
      <w:r w:rsidRPr="00273FA9">
        <w:tab/>
        <w:t>ker bi bili kmetje v Uniji zaradi tega v slabšem konkurenčnem položaju;</w:t>
      </w:r>
    </w:p>
    <w:p w:rsidR="00E64774" w:rsidRPr="00273FA9" w:rsidRDefault="00E64774" w:rsidP="00E64774">
      <w:pPr>
        <w:pStyle w:val="NormalHanging12a"/>
      </w:pPr>
      <w:r w:rsidRPr="00273FA9">
        <w:t>D.</w:t>
      </w:r>
      <w:r w:rsidRPr="00273FA9">
        <w:tab/>
        <w:t xml:space="preserve">ker je </w:t>
      </w:r>
      <w:proofErr w:type="spellStart"/>
      <w:r w:rsidRPr="00273FA9">
        <w:t>ciprokonazol</w:t>
      </w:r>
      <w:proofErr w:type="spellEnd"/>
      <w:r w:rsidRPr="00273FA9">
        <w:t xml:space="preserve"> fungicid iz razreda </w:t>
      </w:r>
      <w:proofErr w:type="spellStart"/>
      <w:r w:rsidRPr="00273FA9">
        <w:t>azolov</w:t>
      </w:r>
      <w:proofErr w:type="spellEnd"/>
      <w:r w:rsidRPr="00273FA9">
        <w:t>, ki se uporablja predvsem za žitarice, kavo, sladkorno peso, jabolka in grozdje ter arašide;</w:t>
      </w:r>
    </w:p>
    <w:p w:rsidR="00E64774" w:rsidRPr="00273FA9" w:rsidRDefault="00E64774" w:rsidP="00E64774">
      <w:pPr>
        <w:pStyle w:val="NormalHanging12a"/>
      </w:pPr>
      <w:r w:rsidRPr="00273FA9">
        <w:t>E.</w:t>
      </w:r>
      <w:r w:rsidRPr="00273FA9">
        <w:tab/>
        <w:t xml:space="preserve">ker je veljavnost odobritve aktivne snovi </w:t>
      </w:r>
      <w:proofErr w:type="spellStart"/>
      <w:r w:rsidRPr="00273FA9">
        <w:t>ciprokonazol</w:t>
      </w:r>
      <w:proofErr w:type="spellEnd"/>
      <w:r w:rsidRPr="00273FA9">
        <w:t xml:space="preserve"> potekla 31. maja 2021; ker je bila vloga za njeno obnovitev vložena septembra 2018, decembra 2018 pa je bila umaknjena; ker so bile vse registracije fitofarmacevtskih sredstev, ki vsebujejo </w:t>
      </w:r>
      <w:proofErr w:type="spellStart"/>
      <w:r w:rsidRPr="00273FA9">
        <w:t>ciprokonazol</w:t>
      </w:r>
      <w:proofErr w:type="spellEnd"/>
      <w:r w:rsidRPr="00273FA9">
        <w:t>, razveljavljene;</w:t>
      </w:r>
    </w:p>
    <w:p w:rsidR="00E64774" w:rsidRPr="00273FA9" w:rsidRDefault="00E64774" w:rsidP="00E64774">
      <w:pPr>
        <w:pStyle w:val="NormalHanging12a"/>
      </w:pPr>
      <w:r w:rsidRPr="00273FA9">
        <w:t>F.</w:t>
      </w:r>
      <w:r w:rsidRPr="00273FA9">
        <w:tab/>
        <w:t xml:space="preserve">ker je </w:t>
      </w:r>
      <w:proofErr w:type="spellStart"/>
      <w:r w:rsidRPr="00273FA9">
        <w:t>ciprokonazol</w:t>
      </w:r>
      <w:proofErr w:type="spellEnd"/>
      <w:r w:rsidRPr="00273FA9">
        <w:t xml:space="preserve"> v skladu z Uredbo (ES) št. 1272/2008 Evropskega parlamenta in Sveta</w:t>
      </w:r>
      <w:r w:rsidRPr="00273FA9">
        <w:rPr>
          <w:rStyle w:val="FootnoteReference"/>
        </w:rPr>
        <w:footnoteReference w:id="8"/>
      </w:r>
      <w:r w:rsidRPr="00273FA9">
        <w:t xml:space="preserve"> razvrščen kot strupen za razmnoževanje kategorije 1B, strupen pri zaužitju (</w:t>
      </w:r>
      <w:proofErr w:type="spellStart"/>
      <w:r w:rsidRPr="00273FA9">
        <w:t>acute</w:t>
      </w:r>
      <w:proofErr w:type="spellEnd"/>
      <w:r w:rsidRPr="00273FA9">
        <w:t xml:space="preserve"> </w:t>
      </w:r>
      <w:proofErr w:type="spellStart"/>
      <w:r w:rsidRPr="00273FA9">
        <w:t>tox</w:t>
      </w:r>
      <w:proofErr w:type="spellEnd"/>
      <w:r w:rsidRPr="00273FA9">
        <w:t>. 3), strupen za jetra (STOT RE 2), zelo strupen za vodne organizme (</w:t>
      </w:r>
      <w:proofErr w:type="spellStart"/>
      <w:r w:rsidRPr="00273FA9">
        <w:t>aquatic</w:t>
      </w:r>
      <w:proofErr w:type="spellEnd"/>
      <w:r w:rsidRPr="00273FA9">
        <w:t xml:space="preserve"> </w:t>
      </w:r>
      <w:proofErr w:type="spellStart"/>
      <w:r w:rsidRPr="00273FA9">
        <w:t>acute</w:t>
      </w:r>
      <w:proofErr w:type="spellEnd"/>
      <w:r w:rsidRPr="00273FA9">
        <w:t xml:space="preserve"> </w:t>
      </w:r>
      <w:r w:rsidRPr="00273FA9">
        <w:lastRenderedPageBreak/>
        <w:t>1) in zelo strupen za vodne organizme z dolgotrajnimi učinki (</w:t>
      </w:r>
      <w:proofErr w:type="spellStart"/>
      <w:r w:rsidRPr="00273FA9">
        <w:t>aquatic</w:t>
      </w:r>
      <w:proofErr w:type="spellEnd"/>
      <w:r w:rsidRPr="00273FA9">
        <w:t xml:space="preserve"> </w:t>
      </w:r>
      <w:proofErr w:type="spellStart"/>
      <w:r w:rsidRPr="00273FA9">
        <w:t>chronic</w:t>
      </w:r>
      <w:proofErr w:type="spellEnd"/>
      <w:r w:rsidRPr="00273FA9">
        <w:t xml:space="preserve"> 1)</w:t>
      </w:r>
      <w:r w:rsidRPr="00273FA9">
        <w:rPr>
          <w:rStyle w:val="FootnoteReference"/>
        </w:rPr>
        <w:footnoteReference w:id="9"/>
      </w:r>
      <w:r w:rsidRPr="00273FA9">
        <w:t>;</w:t>
      </w:r>
    </w:p>
    <w:p w:rsidR="00E64774" w:rsidRPr="00273FA9" w:rsidRDefault="00E64774" w:rsidP="00E64774">
      <w:pPr>
        <w:pStyle w:val="NormalHanging12a"/>
      </w:pPr>
      <w:r w:rsidRPr="00273FA9">
        <w:t>G.</w:t>
      </w:r>
      <w:r w:rsidRPr="00273FA9">
        <w:tab/>
        <w:t xml:space="preserve">ker </w:t>
      </w:r>
      <w:proofErr w:type="spellStart"/>
      <w:r w:rsidRPr="00273FA9">
        <w:t>ciprokonazol</w:t>
      </w:r>
      <w:proofErr w:type="spellEnd"/>
      <w:r w:rsidRPr="00273FA9">
        <w:t xml:space="preserve"> spada v </w:t>
      </w:r>
      <w:proofErr w:type="spellStart"/>
      <w:r w:rsidRPr="00273FA9">
        <w:t>triazolno</w:t>
      </w:r>
      <w:proofErr w:type="spellEnd"/>
      <w:r w:rsidRPr="00273FA9">
        <w:t xml:space="preserve"> skupino zaviralcev ergosterola in biosinteze ter lahko povzroči endokrine motnje</w:t>
      </w:r>
      <w:r w:rsidRPr="00273FA9">
        <w:rPr>
          <w:rStyle w:val="FootnoteReference"/>
        </w:rPr>
        <w:footnoteReference w:id="10"/>
      </w:r>
      <w:r w:rsidRPr="00273FA9">
        <w:t>; ker EFSA njegovega potenciala za povzročanje endokrinih motenj ni ocenila v skladu z znanstvenimi merili za ugotavljanje lastnosti endokrinih motilcev iz Uredbe Komisije (EU) 2018/605</w:t>
      </w:r>
      <w:r w:rsidRPr="00273FA9">
        <w:rPr>
          <w:rStyle w:val="FootnoteReference"/>
        </w:rPr>
        <w:footnoteReference w:id="11"/>
      </w:r>
      <w:r w:rsidRPr="00273FA9">
        <w:t>, ki se uporablja od 10. novembra 2018; ker se motnje endokrinega sistema pogosto pojavljajo pri nizkih odmerkih, snovi, ki povzročajo endokrine motnje, pa pogosto nimajo varne mejne vrednosti</w:t>
      </w:r>
      <w:r w:rsidRPr="00273FA9">
        <w:rPr>
          <w:rStyle w:val="FootnoteReference"/>
        </w:rPr>
        <w:footnoteReference w:id="12"/>
      </w:r>
      <w:r w:rsidRPr="00273FA9">
        <w:t>;</w:t>
      </w:r>
    </w:p>
    <w:p w:rsidR="00E64774" w:rsidRPr="00273FA9" w:rsidRDefault="00E64774" w:rsidP="00E64774">
      <w:pPr>
        <w:pStyle w:val="NormalHanging12a"/>
      </w:pPr>
      <w:r w:rsidRPr="00273FA9">
        <w:t>H.</w:t>
      </w:r>
      <w:r w:rsidRPr="00273FA9">
        <w:tab/>
        <w:t xml:space="preserve">ker je v vse več publikacijah poudarjeno, da so </w:t>
      </w:r>
      <w:proofErr w:type="spellStart"/>
      <w:r w:rsidRPr="00273FA9">
        <w:t>azolni</w:t>
      </w:r>
      <w:proofErr w:type="spellEnd"/>
      <w:r w:rsidRPr="00273FA9">
        <w:t xml:space="preserve"> fungicidi pomemben vir vse večje </w:t>
      </w:r>
      <w:proofErr w:type="spellStart"/>
      <w:r w:rsidRPr="00273FA9">
        <w:t>okoljske</w:t>
      </w:r>
      <w:proofErr w:type="spellEnd"/>
      <w:r w:rsidRPr="00273FA9">
        <w:t xml:space="preserve"> odpornosti na </w:t>
      </w:r>
      <w:proofErr w:type="spellStart"/>
      <w:r w:rsidRPr="00273FA9">
        <w:t>Aspergillus</w:t>
      </w:r>
      <w:proofErr w:type="spellEnd"/>
      <w:r w:rsidRPr="00273FA9">
        <w:t xml:space="preserve"> </w:t>
      </w:r>
      <w:proofErr w:type="spellStart"/>
      <w:r w:rsidRPr="00273FA9">
        <w:t>spp</w:t>
      </w:r>
      <w:proofErr w:type="spellEnd"/>
      <w:r w:rsidRPr="00273FA9">
        <w:rPr>
          <w:rStyle w:val="FootnoteReference"/>
        </w:rPr>
        <w:footnoteReference w:id="13"/>
      </w:r>
      <w:r w:rsidRPr="00273FA9">
        <w:t xml:space="preserve">; ker je Komisija od EFSA zahtevala, naj oceni vpliv uporabe </w:t>
      </w:r>
      <w:proofErr w:type="spellStart"/>
      <w:r w:rsidRPr="00273FA9">
        <w:t>azolnih</w:t>
      </w:r>
      <w:proofErr w:type="spellEnd"/>
      <w:r w:rsidRPr="00273FA9">
        <w:t xml:space="preserve"> fungicidov – razen kot zdravila za uporabo v humani medicini – na razvoj </w:t>
      </w:r>
      <w:proofErr w:type="spellStart"/>
      <w:r w:rsidRPr="00273FA9">
        <w:t>Aspergillus</w:t>
      </w:r>
      <w:proofErr w:type="spellEnd"/>
      <w:r w:rsidRPr="00273FA9">
        <w:t xml:space="preserve"> </w:t>
      </w:r>
      <w:proofErr w:type="spellStart"/>
      <w:r w:rsidRPr="00273FA9">
        <w:t>spp</w:t>
      </w:r>
      <w:proofErr w:type="spellEnd"/>
      <w:r w:rsidRPr="00273FA9">
        <w:t xml:space="preserve">., odpornih proti </w:t>
      </w:r>
      <w:proofErr w:type="spellStart"/>
      <w:r w:rsidRPr="00273FA9">
        <w:t>azolom</w:t>
      </w:r>
      <w:proofErr w:type="spellEnd"/>
      <w:r w:rsidRPr="00273FA9">
        <w:t>; ker zahtevano znanstveno poročilo še ni objavljeno in bo najverjetneje dokončano šele decembra 2024</w:t>
      </w:r>
      <w:r w:rsidRPr="00273FA9">
        <w:rPr>
          <w:rStyle w:val="FootnoteReference"/>
        </w:rPr>
        <w:footnoteReference w:id="14"/>
      </w:r>
      <w:r w:rsidRPr="00273FA9">
        <w:t>;</w:t>
      </w:r>
    </w:p>
    <w:p w:rsidR="00E64774" w:rsidRPr="00273FA9" w:rsidRDefault="00E64774" w:rsidP="00E64774">
      <w:pPr>
        <w:pStyle w:val="NormalHanging12a"/>
      </w:pPr>
      <w:r w:rsidRPr="00273FA9">
        <w:rPr>
          <w:color w:val="000000" w:themeColor="text1"/>
        </w:rPr>
        <w:t>I.</w:t>
      </w:r>
      <w:r w:rsidRPr="00273FA9">
        <w:rPr>
          <w:color w:val="000000" w:themeColor="text1"/>
        </w:rPr>
        <w:tab/>
      </w:r>
      <w:r w:rsidRPr="00273FA9">
        <w:t xml:space="preserve">ker je zato v skladu s členom 17 Uredbe (ES) št. 396/2005, v skladu s katerim Komisija črta mejne vrednosti ostankov (MRL), ki so določene v prilogah II in III k navedeni uredbi, primerno brez mnenja EFSA črtati dosedanje MRL, ki so določene za </w:t>
      </w:r>
      <w:proofErr w:type="spellStart"/>
      <w:r w:rsidRPr="00273FA9">
        <w:t>ciprokonazol</w:t>
      </w:r>
      <w:proofErr w:type="spellEnd"/>
      <w:r w:rsidRPr="00273FA9">
        <w:t xml:space="preserve"> v Prilogi II k uredbi, in sprejeti privzete vrednosti 0,01 mg/kg ali ustrezne meje določljivosti za aktivno snov, če je bila njena odobritev preklicana;</w:t>
      </w:r>
    </w:p>
    <w:p w:rsidR="00E64774" w:rsidRPr="00273FA9" w:rsidRDefault="00E64774" w:rsidP="00E64774">
      <w:pPr>
        <w:pStyle w:val="NormalHanging12a"/>
      </w:pPr>
      <w:r w:rsidRPr="00273FA9">
        <w:t>J.</w:t>
      </w:r>
      <w:r w:rsidRPr="00273FA9">
        <w:tab/>
        <w:t xml:space="preserve">ker pa Komisija v svojem osnutku uredbe predlaga, da se MRL za veliko količino proizvodov (žita, semena, meso, jetra in ledvice) ohranijo nad ustrezno mejo določanja ali privzeto vrednostjo MRL 0,01 mg/kg na podlagi MRL, ki jih je določila Komisija za </w:t>
      </w:r>
      <w:proofErr w:type="spellStart"/>
      <w:r w:rsidRPr="00273FA9">
        <w:t>Codex</w:t>
      </w:r>
      <w:proofErr w:type="spellEnd"/>
      <w:r w:rsidRPr="00273FA9">
        <w:t xml:space="preserve"> </w:t>
      </w:r>
      <w:proofErr w:type="spellStart"/>
      <w:r w:rsidRPr="00273FA9">
        <w:t>Alimentarius</w:t>
      </w:r>
      <w:proofErr w:type="spellEnd"/>
      <w:r w:rsidRPr="00273FA9">
        <w:t xml:space="preserve"> (CXL);</w:t>
      </w:r>
    </w:p>
    <w:p w:rsidR="00E64774" w:rsidRPr="00273FA9" w:rsidRDefault="00E64774" w:rsidP="00E64774">
      <w:pPr>
        <w:pStyle w:val="NormalHanging12a"/>
      </w:pPr>
      <w:r w:rsidRPr="00273FA9">
        <w:t>K.</w:t>
      </w:r>
      <w:r w:rsidRPr="00273FA9">
        <w:tab/>
      </w:r>
      <w:r w:rsidRPr="00273FA9">
        <w:rPr>
          <w:color w:val="000000" w:themeColor="text1"/>
        </w:rPr>
        <w:t xml:space="preserve">ker Komisija predlaga, da se mejne vrednosti ostankov določijo na ravni CXL za grah (brez strokov), fižol, grah, ječmen, ajdo in druga neprava žita, koruzo, navadno proso </w:t>
      </w:r>
      <w:proofErr w:type="spellStart"/>
      <w:r w:rsidRPr="00273FA9">
        <w:rPr>
          <w:color w:val="000000" w:themeColor="text1"/>
        </w:rPr>
        <w:t>proso</w:t>
      </w:r>
      <w:proofErr w:type="spellEnd"/>
      <w:r w:rsidRPr="00273FA9">
        <w:rPr>
          <w:color w:val="000000" w:themeColor="text1"/>
        </w:rPr>
        <w:t xml:space="preserve">, oves, rž, pšenico, kavna zrna in koren sladkorne pese, mišičevje in maščobo prašičev, govedo, ovce, koze in konje ter mišičevje, maščevje in jetra perutnine, kravje, </w:t>
      </w:r>
      <w:r w:rsidRPr="00273FA9">
        <w:rPr>
          <w:color w:val="000000" w:themeColor="text1"/>
        </w:rPr>
        <w:lastRenderedPageBreak/>
        <w:t>ovčje, kozje in konjsko mleko ter ptičja jajca; ker to pomeni, da bi se MRL za jetra in ledvice prašičev, goveda, ovac, koz in konj ohranile na obstoječi ravni 0,5 mg/kg, za semena oljne ogrščice na 0,4 mg/kg in sojo na 0,07 mg/kg; ker so za vse druge proizvode, za katere ni CXL ali uvoznih toleranc, MRL znižane na meje določljivosti za posamezne proizvode, ki se gibljejo med 0,01 in 0,05 mg/kg;</w:t>
      </w:r>
    </w:p>
    <w:p w:rsidR="00E64774" w:rsidRPr="00273FA9" w:rsidRDefault="00E64774" w:rsidP="00E64774">
      <w:pPr>
        <w:pStyle w:val="NormalHanging12a"/>
      </w:pPr>
      <w:r w:rsidRPr="00273FA9">
        <w:t>L.</w:t>
      </w:r>
      <w:r w:rsidRPr="00273FA9">
        <w:tab/>
        <w:t xml:space="preserve">ker je Komisija leta 2024 znižala mejne vrednosti ostankov za </w:t>
      </w:r>
      <w:proofErr w:type="spellStart"/>
      <w:r w:rsidRPr="00273FA9">
        <w:t>tiakloprid</w:t>
      </w:r>
      <w:proofErr w:type="spellEnd"/>
      <w:r w:rsidRPr="00273FA9">
        <w:t>, aktivno snov, ki je razvrščena kot strupena za razmnoževanje skupine 1B, na ustrezno mejo določljivosti z utemeljitvijo, da je do zaključka te dodatne ocene tveganja [o endokrinih učinkih] EFSA in glede na razpoložljive ustrezne informacije v zvezi s potencialno škodljivimi učinki na zdravje ljudi primerno začasno znižati mejne vrednosti ostankov ... [za navedene proizvode]</w:t>
      </w:r>
      <w:r w:rsidRPr="00273FA9">
        <w:rPr>
          <w:rStyle w:val="FootnoteReference"/>
        </w:rPr>
        <w:footnoteReference w:id="15"/>
      </w:r>
      <w:r w:rsidRPr="00273FA9">
        <w:t>;</w:t>
      </w:r>
    </w:p>
    <w:p w:rsidR="00E64774" w:rsidRPr="00273FA9" w:rsidRDefault="00E64774" w:rsidP="00E64774">
      <w:pPr>
        <w:pStyle w:val="NormalHanging12a"/>
      </w:pPr>
      <w:r w:rsidRPr="00273FA9">
        <w:t>M.</w:t>
      </w:r>
      <w:r w:rsidRPr="00273FA9">
        <w:tab/>
        <w:t xml:space="preserve">ker je v uvodni izjavi 5 Uredbe (ES) št. 396/2005 določeno, da ostanki ne smejo biti prisotni na ravneh, ki predstavljajo nesprejemljivo tveganje za ljudi in, če je to primerno, za živali; </w:t>
      </w:r>
    </w:p>
    <w:p w:rsidR="00E64774" w:rsidRPr="00273FA9" w:rsidRDefault="00E64774" w:rsidP="00E64774">
      <w:pPr>
        <w:pStyle w:val="NormalHanging12a"/>
      </w:pPr>
      <w:r w:rsidRPr="00273FA9">
        <w:t>N.</w:t>
      </w:r>
      <w:r w:rsidRPr="00273FA9">
        <w:tab/>
        <w:t>ker člen 4(2), prvi pododstavek, točka (a), Uredbe (ES) št. 1107/2009 določa, da ostanki fitofarmacevtskih sredstev ne smejo imeti škodljivega vpliva na zdravje ljudi, vključno z ranljivimi skupinami, ali zdravje živali, ob upoštevanju znanih kumulativnih in sinergijskih učinkov; ker je v točki 3.6.4 Priloge II k navedeni uredbi določeno, da se aktivna snov, ki je v skladu z Uredbo (ES) št. 1272/2008 razvrščena kot strupena za razmnoževanje v kategoriji 1A ali 1B, ne odobri, razen če „ostanki zadevne aktivne snovi [...] v hrani ali krmi ne presegajo privzete vrednosti v skladu s točko (b) člena 18(1) Uredbe (ES) št. 396/2005“; ker člen 18(1), točka (b), Uredbe (ES) št. 396/2005 določa privzeto vrednost 0,01 mg/kg;</w:t>
      </w:r>
    </w:p>
    <w:p w:rsidR="00E64774" w:rsidRPr="00273FA9" w:rsidRDefault="00E64774" w:rsidP="00E64774">
      <w:pPr>
        <w:pStyle w:val="NormalHanging12a"/>
      </w:pPr>
      <w:r w:rsidRPr="00273FA9">
        <w:t>O.</w:t>
      </w:r>
      <w:r w:rsidRPr="00273FA9">
        <w:tab/>
        <w:t xml:space="preserve">ker člen 3(2), točka (g), Uredbe (ES) št. 396/2005 določa, da je uvozna toleranca MRL, določena za uvožen proizvod, kadar „uporaba aktivne snovi v fitofarmacevtskem proizvodu na določenem proizvodu ni dovoljena v Skupnosti iz razlogov razen javnega zdravja za specifičen proizvod in specifično uporabo“; ker </w:t>
      </w:r>
      <w:proofErr w:type="spellStart"/>
      <w:r w:rsidRPr="00273FA9">
        <w:t>ciprokonazol</w:t>
      </w:r>
      <w:proofErr w:type="spellEnd"/>
      <w:r w:rsidRPr="00273FA9">
        <w:t xml:space="preserve"> ne izpolnjuje teh meril, saj je bil prepovedan iz zdravstvenih razlogov, ker je razvrščen kot strupen za razmnoževanje v kategoriji 1B;</w:t>
      </w:r>
    </w:p>
    <w:p w:rsidR="00E64774" w:rsidRPr="00273FA9" w:rsidRDefault="00E64774" w:rsidP="00E64774">
      <w:pPr>
        <w:pStyle w:val="NormalHanging12a"/>
      </w:pPr>
      <w:r w:rsidRPr="00273FA9">
        <w:t>P.</w:t>
      </w:r>
      <w:r w:rsidRPr="00273FA9">
        <w:tab/>
        <w:t>ker člen 5(1) Uredbe (ES) št. 178/2002 določa, da si živilska zakonodaja prizadeva za doseganje enega ali več splošnih ciljev visoke ravni varovanja življenja in zdravja ljudi in varstva interesov potrošnika, vključno s poštenimi praksami v trgovini z živili ob upoštevanju, kadar je to primerno, varovanja zdravja in dobrobiti živali, zdravja rastlin in okolja;</w:t>
      </w:r>
    </w:p>
    <w:p w:rsidR="00E64774" w:rsidRPr="00273FA9" w:rsidRDefault="00E64774" w:rsidP="00E64774">
      <w:pPr>
        <w:pStyle w:val="NormalHanging12a"/>
      </w:pPr>
      <w:r w:rsidRPr="00273FA9">
        <w:t>Q.</w:t>
      </w:r>
      <w:r w:rsidRPr="00273FA9">
        <w:tab/>
        <w:t>ker je Komisija v svojem sporočilu z dne 20. maja 2020 z naslovom Strategija „od vil do vilic“ za pravičen, zdrav in okolju prijazen prehranski sistem</w:t>
      </w:r>
      <w:r w:rsidRPr="00273FA9">
        <w:rPr>
          <w:rStyle w:val="FootnoteReference"/>
        </w:rPr>
        <w:footnoteReference w:id="16"/>
      </w:r>
      <w:r w:rsidRPr="00273FA9">
        <w:t xml:space="preserve"> oznanila, da bo „[...] EU [...] podprla svetovni prehod na trajnostne agroživilske sisteme v skladu s cilji te strategije in cilji trajnostnega razvoja“ in da „[...] EU lahko s to strategijo [...] prevzame ključno vlogo pri določanju svetovnih standardov“; ker je Komisija v strategiji izrecno navedla, da so za bolj trajnosten prehranski sistem EU potrebne tudi vse bolj trajnostne prakse naših trgovinskih partnerjev. Da bi spodbudila postopen prehod na uporabo </w:t>
      </w:r>
      <w:r w:rsidRPr="00273FA9">
        <w:lastRenderedPageBreak/>
        <w:t>varnejših fitofarmacevtskih sredstev, bo EU v skladu s pravili STO in po oceni tveganja razmislila o reviziji uvoznih toleranc za snovi, ki izpolnjujejo „merila za izključitev“ in pomenijo veliko tveganje za zdravje ljudi“;</w:t>
      </w:r>
    </w:p>
    <w:p w:rsidR="00E64774" w:rsidRPr="00273FA9" w:rsidRDefault="00E64774" w:rsidP="00E64774">
      <w:pPr>
        <w:pStyle w:val="NormalHanging12a"/>
      </w:pPr>
      <w:r w:rsidRPr="00273FA9">
        <w:t>R.</w:t>
      </w:r>
      <w:r w:rsidRPr="00273FA9">
        <w:tab/>
        <w:t xml:space="preserve">ker praksa določanja visokih mejnih vrednosti ostankov spodbuja dvojne standarde med kmeti Unije in tistimi v tretjih državah, saj lahko kmetje, ki niso iz Unije, še naprej proizvajajo živila z uporabo </w:t>
      </w:r>
      <w:proofErr w:type="spellStart"/>
      <w:r w:rsidRPr="00273FA9">
        <w:t>ciprokonazola</w:t>
      </w:r>
      <w:proofErr w:type="spellEnd"/>
      <w:r w:rsidRPr="00273FA9">
        <w:t xml:space="preserve"> ter jih izvažajo v Unijo, zaradi česar so tukajšnji kmetje v slabšem konkurenčnem položaju; ker po drugi strani uporaba tega pesticida tudi v državah proizvajalkah ogroža zdravje delavcev v kmetijstvu, splošnega prebivalstva in okolja;</w:t>
      </w:r>
    </w:p>
    <w:p w:rsidR="00E64774" w:rsidRPr="00273FA9" w:rsidRDefault="00E64774" w:rsidP="00E64774">
      <w:pPr>
        <w:pStyle w:val="NormalHanging12a"/>
      </w:pPr>
      <w:r w:rsidRPr="00273FA9">
        <w:t>S.</w:t>
      </w:r>
      <w:r w:rsidRPr="00273FA9">
        <w:tab/>
        <w:t>ker člen 191(2) PDEU določa previdnostno načelo kot eno od temeljnih načel Unije;</w:t>
      </w:r>
    </w:p>
    <w:p w:rsidR="00E64774" w:rsidRPr="00273FA9" w:rsidRDefault="00E64774" w:rsidP="00E64774">
      <w:pPr>
        <w:pStyle w:val="NormalHanging12a"/>
      </w:pPr>
      <w:r w:rsidRPr="00273FA9">
        <w:t>T.</w:t>
      </w:r>
      <w:r w:rsidRPr="00273FA9">
        <w:tab/>
        <w:t>ker mora Komisija varovati okolje in evropske državljane na podlagi razpoložljivih znanstvenih podatkov, pri čemer mora uporabiti obveznosti in pravne možnosti, ki jih določata uredbi (ES) št. 396/2005 in (ES) št. 178/2002, da bi zagotovili visoko raven varovanja zdravja ljudi in živali ter okolja;</w:t>
      </w:r>
    </w:p>
    <w:p w:rsidR="00E64774" w:rsidRPr="00273FA9" w:rsidRDefault="00E64774" w:rsidP="00E64774">
      <w:pPr>
        <w:pStyle w:val="NormalHanging12a"/>
      </w:pPr>
      <w:r w:rsidRPr="00273FA9">
        <w:t>U.</w:t>
      </w:r>
      <w:r w:rsidRPr="00273FA9">
        <w:tab/>
        <w:t>ker predlagane mejne vrednosti ostankov ne varujejo zdravja državljanov v Evropi in so zato v nasprotju z uredbama (ES) št. 396/2005 in (ES) št. 178/2002;</w:t>
      </w:r>
    </w:p>
    <w:p w:rsidR="00E64774" w:rsidRPr="00273FA9" w:rsidRDefault="00E64774" w:rsidP="00E64774">
      <w:pPr>
        <w:pStyle w:val="NormalHanging12a"/>
      </w:pPr>
      <w:r w:rsidRPr="00273FA9">
        <w:t>V.</w:t>
      </w:r>
      <w:r w:rsidRPr="00273FA9">
        <w:tab/>
        <w:t xml:space="preserve">ker se MRL ne bi smele določati za aktivne snovi, ki zaradi zdravstvenih pomislekov v Uniji niso odobrene; ker se zato CXL, ki presegajo ustrezno mejo določljivosti ali privzeto vrednost 0,01 mg/kg, ne bi smele šteti za varne za potrošnike, saj je </w:t>
      </w:r>
      <w:proofErr w:type="spellStart"/>
      <w:r w:rsidRPr="00273FA9">
        <w:t>ciprokonazol</w:t>
      </w:r>
      <w:proofErr w:type="spellEnd"/>
      <w:r w:rsidRPr="00273FA9">
        <w:t xml:space="preserve"> razvrščen kot strupen za razmnoževanje kategorije 1B;</w:t>
      </w:r>
    </w:p>
    <w:p w:rsidR="00E64774" w:rsidRPr="00273FA9" w:rsidRDefault="00E64774" w:rsidP="00E64774">
      <w:pPr>
        <w:pStyle w:val="NormalHanging12a"/>
      </w:pPr>
      <w:r w:rsidRPr="00273FA9">
        <w:t>W.</w:t>
      </w:r>
      <w:r w:rsidRPr="00273FA9">
        <w:tab/>
        <w:t xml:space="preserve"> ker je treba pri določanju MRL upoštevati kumulativne in sinergijske učinke in je nadvse pomembno čim prej pospešiti razvoj ustreznih metod za to oceno;</w:t>
      </w:r>
    </w:p>
    <w:p w:rsidR="00E64774" w:rsidRPr="00273FA9" w:rsidRDefault="00E64774" w:rsidP="00E64774">
      <w:pPr>
        <w:pStyle w:val="NormalHanging12a"/>
      </w:pPr>
      <w:r w:rsidRPr="00273FA9">
        <w:t>1.</w:t>
      </w:r>
      <w:r w:rsidRPr="00273FA9">
        <w:tab/>
        <w:t>nasprotuje sprejetju osnutka uredbe Komisije;</w:t>
      </w:r>
    </w:p>
    <w:p w:rsidR="00E64774" w:rsidRPr="00273FA9" w:rsidRDefault="00E64774" w:rsidP="00E64774">
      <w:pPr>
        <w:pStyle w:val="NormalHanging12a"/>
        <w:rPr>
          <w:szCs w:val="24"/>
        </w:rPr>
      </w:pPr>
      <w:r w:rsidRPr="00273FA9">
        <w:t>2.</w:t>
      </w:r>
      <w:r w:rsidRPr="00273FA9">
        <w:tab/>
        <w:t>meni, da osnutek uredbe Komisije ni združljiv niti s ciljem in vsebino uredb (ES) št. 396/2005 in (ES) št. 178/2002 niti z Uredbo (ES) št. 1107/2009, vključno s točko 3.6.4 njene Priloge II;</w:t>
      </w:r>
    </w:p>
    <w:p w:rsidR="00E64774" w:rsidRPr="00273FA9" w:rsidRDefault="00E64774" w:rsidP="00E64774">
      <w:pPr>
        <w:pStyle w:val="NormalHanging12a"/>
      </w:pPr>
      <w:r w:rsidRPr="00273FA9">
        <w:t>3.</w:t>
      </w:r>
      <w:r w:rsidRPr="00273FA9">
        <w:tab/>
        <w:t>poziva Komisijo, naj uporabi previdnostno načelo, umakne osnutek uredbe in odboru predloži novega;</w:t>
      </w:r>
    </w:p>
    <w:p w:rsidR="00E64774" w:rsidRPr="00273FA9" w:rsidRDefault="00E64774" w:rsidP="00E64774">
      <w:pPr>
        <w:pStyle w:val="NormalHanging12a"/>
      </w:pPr>
      <w:r w:rsidRPr="00273FA9">
        <w:t>4.</w:t>
      </w:r>
      <w:r w:rsidRPr="00273FA9">
        <w:tab/>
        <w:t xml:space="preserve">poziva Komisijo, naj odboru predloži nov osnutek uredbe o znižanju vseh mejnih vrednosti ostankov za </w:t>
      </w:r>
      <w:proofErr w:type="spellStart"/>
      <w:r w:rsidRPr="00273FA9">
        <w:t>ciprokonazol</w:t>
      </w:r>
      <w:proofErr w:type="spellEnd"/>
      <w:r w:rsidRPr="00273FA9">
        <w:t xml:space="preserve"> mejo določljivosti ali privzeto vrednost 0,01 mg/kg za vse uporabe ter naj zavrne vse vloge za uvozne tolerance;</w:t>
      </w:r>
    </w:p>
    <w:p w:rsidR="00E64774" w:rsidRPr="00273FA9" w:rsidRDefault="00E64774" w:rsidP="00E64774">
      <w:pPr>
        <w:pStyle w:val="NormalHanging12a"/>
      </w:pPr>
      <w:r w:rsidRPr="00273FA9">
        <w:t>5.</w:t>
      </w:r>
      <w:r w:rsidRPr="00273FA9">
        <w:tab/>
        <w:t>je seznanjen, da agencija EFSA pripravlja metode za oceno kumulativnih tveganj, a tudi dodaja, da so kumulativni učinki pesticidov in njihovih ostankov znani že desetletja; zato agencijo in Komisijo poziva, naj to problematiko nujno obravnavata;</w:t>
      </w:r>
    </w:p>
    <w:p w:rsidR="00E64774" w:rsidRPr="00273FA9" w:rsidRDefault="00E64774" w:rsidP="00B618AE">
      <w:pPr>
        <w:pStyle w:val="NormalHanging12a"/>
      </w:pPr>
      <w:r w:rsidRPr="00273FA9">
        <w:t>6.</w:t>
      </w:r>
      <w:r w:rsidRPr="00273FA9">
        <w:tab/>
        <w:t>naroči svoji predsednici, naj to resolucijo posreduje Svetu in Komisiji ter vladam in parlamentom držav članic.</w:t>
      </w:r>
    </w:p>
    <w:sectPr w:rsidR="00E64774" w:rsidRPr="00273FA9" w:rsidSect="00273F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538" w:rsidRPr="00273FA9" w:rsidRDefault="00176538">
      <w:r w:rsidRPr="00273FA9">
        <w:separator/>
      </w:r>
    </w:p>
  </w:endnote>
  <w:endnote w:type="continuationSeparator" w:id="0">
    <w:p w:rsidR="00176538" w:rsidRPr="00273FA9" w:rsidRDefault="00176538">
      <w:r w:rsidRPr="00273F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3FA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3FA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3FA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538" w:rsidRPr="00273FA9" w:rsidRDefault="00176538">
      <w:r w:rsidRPr="00273FA9">
        <w:separator/>
      </w:r>
    </w:p>
  </w:footnote>
  <w:footnote w:type="continuationSeparator" w:id="0">
    <w:p w:rsidR="00176538" w:rsidRPr="00273FA9" w:rsidRDefault="00176538">
      <w:r w:rsidRPr="00273FA9">
        <w:continuationSeparator/>
      </w:r>
    </w:p>
  </w:footnote>
  <w:footnote w:id="1">
    <w:p w:rsidR="00E64774" w:rsidRPr="00613A30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Pr="00613A30">
        <w:rPr>
          <w:sz w:val="24"/>
          <w:lang w:val="sl-SI"/>
        </w:rPr>
        <w:t>UL L 70, 16.3.2005, str. 1.</w:t>
      </w:r>
    </w:p>
  </w:footnote>
  <w:footnote w:id="2">
    <w:p w:rsidR="00E64774" w:rsidRPr="00613A30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Pr="00613A30">
        <w:rPr>
          <w:sz w:val="24"/>
          <w:lang w:val="sl-SI"/>
        </w:rPr>
        <w:t>UL L 309, 24.11.2009, str. 1.</w:t>
      </w:r>
    </w:p>
  </w:footnote>
  <w:footnote w:id="3">
    <w:p w:rsidR="00E64774" w:rsidRPr="00613A30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Pr="00613A30">
        <w:rPr>
          <w:sz w:val="24"/>
          <w:lang w:val="sl-SI"/>
        </w:rPr>
        <w:t>UL L 31, 1.2.2002, str. 1.</w:t>
      </w:r>
    </w:p>
  </w:footnote>
  <w:footnote w:id="4">
    <w:p w:rsidR="00E64774" w:rsidRPr="00613A30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Pr="00613A30">
        <w:rPr>
          <w:sz w:val="24"/>
          <w:lang w:val="sl-SI"/>
        </w:rPr>
        <w:t xml:space="preserve">Obrazloženo mnenje agencije EFSA o pregledu veljavnih mejnih vrednosti ostankov za </w:t>
      </w:r>
      <w:proofErr w:type="spellStart"/>
      <w:r w:rsidRPr="00613A30">
        <w:rPr>
          <w:sz w:val="24"/>
          <w:lang w:val="sl-SI"/>
        </w:rPr>
        <w:t>ciprokonazol</w:t>
      </w:r>
      <w:proofErr w:type="spellEnd"/>
      <w:r w:rsidRPr="00613A30">
        <w:rPr>
          <w:sz w:val="24"/>
          <w:lang w:val="sl-SI"/>
        </w:rPr>
        <w:t xml:space="preserve"> v skladu s členom 12 Uredbe (ES) št. </w:t>
      </w:r>
      <w:r w:rsidRPr="00613A30">
        <w:rPr>
          <w:sz w:val="24"/>
          <w:lang w:val="sl-SI"/>
        </w:rPr>
        <w:t xml:space="preserve">396/2005, strokovno glasilo EFSA 2021;19(3):e06483, </w:t>
      </w:r>
      <w:hyperlink r:id="rId1" w:history="1">
        <w:r w:rsidRPr="00613A30">
          <w:rPr>
            <w:rStyle w:val="Hyperlink"/>
            <w:sz w:val="24"/>
            <w:lang w:val="sl-SI"/>
          </w:rPr>
          <w:t>https://doi.org/10.2903/j.efsa.2021.6483</w:t>
        </w:r>
      </w:hyperlink>
      <w:r w:rsidRPr="00613A30">
        <w:rPr>
          <w:sz w:val="24"/>
          <w:lang w:val="sl-SI"/>
        </w:rPr>
        <w:t>.</w:t>
      </w:r>
    </w:p>
  </w:footnote>
  <w:footnote w:id="5">
    <w:p w:rsidR="00E64774" w:rsidRPr="00613A30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Pr="00613A30">
        <w:rPr>
          <w:sz w:val="24"/>
          <w:lang w:val="sl-SI"/>
        </w:rPr>
        <w:t xml:space="preserve">Sklep agencije EFSA o strokovnem pregledu ocene tveganja pesticidov z aktivno snovjo </w:t>
      </w:r>
      <w:proofErr w:type="spellStart"/>
      <w:r w:rsidRPr="00613A30">
        <w:rPr>
          <w:sz w:val="24"/>
          <w:lang w:val="sl-SI"/>
        </w:rPr>
        <w:t>ciprokonazol</w:t>
      </w:r>
      <w:proofErr w:type="spellEnd"/>
      <w:r w:rsidRPr="00613A30">
        <w:rPr>
          <w:sz w:val="24"/>
          <w:lang w:val="sl-SI"/>
        </w:rPr>
        <w:t xml:space="preserve">, strokovno glasilo EFSA 2010;8(11):1897, </w:t>
      </w:r>
      <w:hyperlink r:id="rId2" w:history="1">
        <w:r w:rsidRPr="00613A30">
          <w:rPr>
            <w:rStyle w:val="Hyperlink"/>
            <w:sz w:val="24"/>
            <w:lang w:val="sl-SI"/>
          </w:rPr>
          <w:t>https://doi.org/10.2903/j.efsa.2010.1897</w:t>
        </w:r>
      </w:hyperlink>
      <w:r w:rsidRPr="00613A30">
        <w:rPr>
          <w:sz w:val="24"/>
          <w:lang w:val="sl-SI"/>
        </w:rPr>
        <w:t>.</w:t>
      </w:r>
    </w:p>
  </w:footnote>
  <w:footnote w:id="6">
    <w:p w:rsidR="00E64774" w:rsidRPr="00613A30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Pr="00613A30">
        <w:rPr>
          <w:sz w:val="24"/>
          <w:lang w:val="sl-SI"/>
        </w:rPr>
        <w:t xml:space="preserve">Mnenje Odbora za oceno tveganja o predlogu za usklajeno razvrščanje in označevanje </w:t>
      </w:r>
      <w:proofErr w:type="spellStart"/>
      <w:r w:rsidRPr="00613A30">
        <w:rPr>
          <w:sz w:val="24"/>
          <w:lang w:val="sl-SI"/>
        </w:rPr>
        <w:t>ciprokonazola</w:t>
      </w:r>
      <w:proofErr w:type="spellEnd"/>
      <w:r w:rsidRPr="00613A30">
        <w:rPr>
          <w:sz w:val="24"/>
          <w:lang w:val="sl-SI"/>
        </w:rPr>
        <w:t xml:space="preserve"> (ISO) na ravni EU; (2RS,3RS;2RS,3SR)-2-(4-chlorophenyl)-3-cyclopr opyl-1-(1H-1,2,4-triazol-1-yl)butan-2-ol, </w:t>
      </w:r>
      <w:hyperlink r:id="rId3" w:history="1">
        <w:r w:rsidRPr="00613A30">
          <w:rPr>
            <w:rStyle w:val="Hyperlink"/>
            <w:sz w:val="24"/>
            <w:lang w:val="sl-SI"/>
          </w:rPr>
          <w:t>https://echa.europa.eu/documents/10162/6d98baeb-24aa-a683-28ec-d8adabee5461</w:t>
        </w:r>
      </w:hyperlink>
      <w:r w:rsidRPr="00613A30">
        <w:rPr>
          <w:sz w:val="24"/>
          <w:lang w:val="sl-SI"/>
        </w:rPr>
        <w:t>.</w:t>
      </w:r>
    </w:p>
  </w:footnote>
  <w:footnote w:id="7">
    <w:p w:rsidR="00E64774" w:rsidRPr="00613A30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Pr="00613A30">
        <w:rPr>
          <w:sz w:val="24"/>
          <w:lang w:val="sl-SI"/>
        </w:rPr>
        <w:t xml:space="preserve">UL L 184, </w:t>
      </w:r>
      <w:r w:rsidRPr="00613A30">
        <w:rPr>
          <w:sz w:val="24"/>
          <w:lang w:val="sl-SI"/>
        </w:rPr>
        <w:t>17.7.</w:t>
      </w:r>
      <w:bookmarkStart w:id="7" w:name="_GoBack"/>
      <w:bookmarkEnd w:id="7"/>
      <w:r w:rsidRPr="00613A30">
        <w:rPr>
          <w:sz w:val="24"/>
          <w:lang w:val="sl-SI"/>
        </w:rPr>
        <w:t>1999, str. 23.</w:t>
      </w:r>
    </w:p>
  </w:footnote>
  <w:footnote w:id="8">
    <w:p w:rsidR="00E64774" w:rsidRPr="00613A30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Pr="00613A30">
        <w:rPr>
          <w:sz w:val="24"/>
          <w:lang w:val="sl-SI"/>
        </w:rPr>
        <w:t>Uredba (ES) št. 1272/2008 Evropskega parlamenta in Sveta z dne 16. decembra 2008 o razvrščanju, označevanju in pakiranju snovi ter zmesi, o spremembi in razveljavitvi direktiv 67/548/EGS in 1999/45/ES ter spremembi Uredbe (ES) št. 1907/2006 (UL L 353, 31.12.2008, str. 1).</w:t>
      </w:r>
    </w:p>
  </w:footnote>
  <w:footnote w:id="9">
    <w:p w:rsidR="00E64774" w:rsidRPr="00613A30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="00E2336F">
        <w:fldChar w:fldCharType="begin"/>
      </w:r>
      <w:r w:rsidR="00E2336F" w:rsidRPr="00E2336F">
        <w:rPr>
          <w:lang w:val="sl-SI"/>
        </w:rPr>
        <w:instrText xml:space="preserve"> HYPERLINK "https://www.echa.europa.eu/substance-information/-</w:instrText>
      </w:r>
      <w:r w:rsidR="00E2336F" w:rsidRPr="00E2336F">
        <w:rPr>
          <w:lang w:val="sl-SI"/>
        </w:rPr>
        <w:instrText xml:space="preserve">/substanceinfo/100.130.443" </w:instrText>
      </w:r>
      <w:r w:rsidR="00E2336F">
        <w:fldChar w:fldCharType="separate"/>
      </w:r>
      <w:r w:rsidRPr="00613A30">
        <w:rPr>
          <w:rStyle w:val="Hyperlink"/>
          <w:sz w:val="24"/>
          <w:lang w:val="sl-SI"/>
        </w:rPr>
        <w:t>https://www.echa.europa.eu/substance-information/-/substanceinfo/100.130.443</w:t>
      </w:r>
      <w:r w:rsidR="00E2336F">
        <w:rPr>
          <w:rStyle w:val="Hyperlink"/>
          <w:sz w:val="24"/>
          <w:lang w:val="sl-SI"/>
        </w:rPr>
        <w:fldChar w:fldCharType="end"/>
      </w:r>
    </w:p>
  </w:footnote>
  <w:footnote w:id="10">
    <w:p w:rsidR="00E64774" w:rsidRPr="00613A30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Pr="00613A30">
        <w:rPr>
          <w:sz w:val="24"/>
          <w:lang w:val="sl-SI"/>
        </w:rPr>
        <w:t xml:space="preserve">Sklep EFSA o strokovnem pregledu o pesticidih z dne 8. </w:t>
      </w:r>
      <w:r w:rsidR="00F569FA">
        <w:rPr>
          <w:sz w:val="24"/>
          <w:lang w:val="sl-SI"/>
        </w:rPr>
        <w:t>novembra</w:t>
      </w:r>
      <w:r w:rsidRPr="00613A30">
        <w:rPr>
          <w:sz w:val="24"/>
          <w:lang w:val="sl-SI"/>
        </w:rPr>
        <w:t xml:space="preserve"> 201</w:t>
      </w:r>
      <w:r w:rsidR="00F569FA">
        <w:rPr>
          <w:sz w:val="24"/>
          <w:lang w:val="sl-SI"/>
        </w:rPr>
        <w:t>0</w:t>
      </w:r>
      <w:r w:rsidRPr="00613A30">
        <w:rPr>
          <w:sz w:val="24"/>
          <w:lang w:val="sl-SI"/>
        </w:rPr>
        <w:t xml:space="preserve">; </w:t>
      </w:r>
      <w:proofErr w:type="spellStart"/>
      <w:r w:rsidRPr="00613A30">
        <w:rPr>
          <w:sz w:val="24"/>
          <w:lang w:val="sl-SI"/>
        </w:rPr>
        <w:t>Draskau</w:t>
      </w:r>
      <w:proofErr w:type="spellEnd"/>
      <w:r w:rsidRPr="00613A30">
        <w:rPr>
          <w:sz w:val="24"/>
          <w:lang w:val="sl-SI"/>
        </w:rPr>
        <w:t xml:space="preserve">, M.K., in </w:t>
      </w:r>
      <w:proofErr w:type="spellStart"/>
      <w:r w:rsidRPr="00613A30">
        <w:rPr>
          <w:sz w:val="24"/>
          <w:lang w:val="sl-SI"/>
        </w:rPr>
        <w:t>Svingen</w:t>
      </w:r>
      <w:proofErr w:type="spellEnd"/>
      <w:r w:rsidRPr="00613A30">
        <w:rPr>
          <w:sz w:val="24"/>
          <w:lang w:val="sl-SI"/>
        </w:rPr>
        <w:t xml:space="preserve">, T., „Azole </w:t>
      </w:r>
      <w:proofErr w:type="spellStart"/>
      <w:r w:rsidRPr="00613A30">
        <w:rPr>
          <w:sz w:val="24"/>
          <w:lang w:val="sl-SI"/>
        </w:rPr>
        <w:t>Fungicides</w:t>
      </w:r>
      <w:proofErr w:type="spellEnd"/>
      <w:r w:rsidRPr="00613A30">
        <w:rPr>
          <w:sz w:val="24"/>
          <w:lang w:val="sl-SI"/>
        </w:rPr>
        <w:t xml:space="preserve"> </w:t>
      </w:r>
      <w:proofErr w:type="spellStart"/>
      <w:r w:rsidRPr="00613A30">
        <w:rPr>
          <w:sz w:val="24"/>
          <w:lang w:val="sl-SI"/>
        </w:rPr>
        <w:t>and</w:t>
      </w:r>
      <w:proofErr w:type="spellEnd"/>
      <w:r w:rsidRPr="00613A30">
        <w:rPr>
          <w:sz w:val="24"/>
          <w:lang w:val="sl-SI"/>
        </w:rPr>
        <w:t xml:space="preserve"> </w:t>
      </w:r>
      <w:proofErr w:type="spellStart"/>
      <w:r w:rsidRPr="00613A30">
        <w:rPr>
          <w:sz w:val="24"/>
          <w:lang w:val="sl-SI"/>
        </w:rPr>
        <w:t>Their</w:t>
      </w:r>
      <w:proofErr w:type="spellEnd"/>
      <w:r w:rsidRPr="00613A30">
        <w:rPr>
          <w:sz w:val="24"/>
          <w:lang w:val="sl-SI"/>
        </w:rPr>
        <w:t xml:space="preserve"> </w:t>
      </w:r>
      <w:proofErr w:type="spellStart"/>
      <w:r w:rsidRPr="00613A30">
        <w:rPr>
          <w:sz w:val="24"/>
          <w:lang w:val="sl-SI"/>
        </w:rPr>
        <w:t>Endocrine</w:t>
      </w:r>
      <w:proofErr w:type="spellEnd"/>
      <w:r w:rsidRPr="00613A30">
        <w:rPr>
          <w:sz w:val="24"/>
          <w:lang w:val="sl-SI"/>
        </w:rPr>
        <w:t xml:space="preserve"> </w:t>
      </w:r>
      <w:proofErr w:type="spellStart"/>
      <w:r w:rsidRPr="00613A30">
        <w:rPr>
          <w:sz w:val="24"/>
          <w:lang w:val="sl-SI"/>
        </w:rPr>
        <w:t>Disrupting</w:t>
      </w:r>
      <w:proofErr w:type="spellEnd"/>
      <w:r w:rsidRPr="00613A30">
        <w:rPr>
          <w:sz w:val="24"/>
          <w:lang w:val="sl-SI"/>
        </w:rPr>
        <w:t xml:space="preserve"> </w:t>
      </w:r>
      <w:proofErr w:type="spellStart"/>
      <w:r w:rsidRPr="00613A30">
        <w:rPr>
          <w:sz w:val="24"/>
          <w:lang w:val="sl-SI"/>
        </w:rPr>
        <w:t>Properties</w:t>
      </w:r>
      <w:proofErr w:type="spellEnd"/>
      <w:r w:rsidRPr="00613A30">
        <w:rPr>
          <w:sz w:val="24"/>
          <w:lang w:val="sl-SI"/>
        </w:rPr>
        <w:t xml:space="preserve">: </w:t>
      </w:r>
      <w:proofErr w:type="spellStart"/>
      <w:r w:rsidRPr="00613A30">
        <w:rPr>
          <w:sz w:val="24"/>
          <w:lang w:val="sl-SI"/>
        </w:rPr>
        <w:t>Perspectives</w:t>
      </w:r>
      <w:proofErr w:type="spellEnd"/>
      <w:r w:rsidRPr="00613A30">
        <w:rPr>
          <w:sz w:val="24"/>
          <w:lang w:val="sl-SI"/>
        </w:rPr>
        <w:t xml:space="preserve"> on </w:t>
      </w:r>
      <w:proofErr w:type="spellStart"/>
      <w:r w:rsidRPr="00613A30">
        <w:rPr>
          <w:sz w:val="24"/>
          <w:lang w:val="sl-SI"/>
        </w:rPr>
        <w:t>Sex</w:t>
      </w:r>
      <w:proofErr w:type="spellEnd"/>
      <w:r w:rsidRPr="00613A30">
        <w:rPr>
          <w:sz w:val="24"/>
          <w:lang w:val="sl-SI"/>
        </w:rPr>
        <w:t xml:space="preserve"> Hormone-</w:t>
      </w:r>
      <w:proofErr w:type="spellStart"/>
      <w:r w:rsidRPr="00613A30">
        <w:rPr>
          <w:sz w:val="24"/>
          <w:lang w:val="sl-SI"/>
        </w:rPr>
        <w:t>Dependent</w:t>
      </w:r>
      <w:proofErr w:type="spellEnd"/>
      <w:r w:rsidRPr="00613A30">
        <w:rPr>
          <w:sz w:val="24"/>
          <w:lang w:val="sl-SI"/>
        </w:rPr>
        <w:t xml:space="preserve"> </w:t>
      </w:r>
      <w:proofErr w:type="spellStart"/>
      <w:r w:rsidRPr="00613A30">
        <w:rPr>
          <w:sz w:val="24"/>
          <w:lang w:val="sl-SI"/>
        </w:rPr>
        <w:t>Reproductive</w:t>
      </w:r>
      <w:proofErr w:type="spellEnd"/>
      <w:r w:rsidRPr="00613A30">
        <w:rPr>
          <w:sz w:val="24"/>
          <w:lang w:val="sl-SI"/>
        </w:rPr>
        <w:t xml:space="preserve"> </w:t>
      </w:r>
      <w:proofErr w:type="spellStart"/>
      <w:r w:rsidRPr="00613A30">
        <w:rPr>
          <w:sz w:val="24"/>
          <w:lang w:val="sl-SI"/>
        </w:rPr>
        <w:t>Development</w:t>
      </w:r>
      <w:proofErr w:type="spellEnd"/>
      <w:r w:rsidRPr="00613A30">
        <w:rPr>
          <w:sz w:val="24"/>
          <w:lang w:val="sl-SI"/>
        </w:rPr>
        <w:t>“, </w:t>
      </w:r>
      <w:proofErr w:type="spellStart"/>
      <w:r w:rsidRPr="00613A30">
        <w:rPr>
          <w:sz w:val="24"/>
          <w:lang w:val="sl-SI"/>
        </w:rPr>
        <w:t>Frontiers</w:t>
      </w:r>
      <w:proofErr w:type="spellEnd"/>
      <w:r w:rsidRPr="00613A30">
        <w:rPr>
          <w:sz w:val="24"/>
          <w:lang w:val="sl-SI"/>
        </w:rPr>
        <w:t xml:space="preserve"> in </w:t>
      </w:r>
      <w:proofErr w:type="spellStart"/>
      <w:r w:rsidRPr="00613A30">
        <w:rPr>
          <w:sz w:val="24"/>
          <w:lang w:val="sl-SI"/>
        </w:rPr>
        <w:t>Toxicology</w:t>
      </w:r>
      <w:proofErr w:type="spellEnd"/>
      <w:r w:rsidRPr="00613A30">
        <w:rPr>
          <w:sz w:val="24"/>
          <w:lang w:val="sl-SI"/>
        </w:rPr>
        <w:t xml:space="preserve"> 2022, 4:883254, </w:t>
      </w:r>
      <w:r w:rsidR="00E2336F">
        <w:fldChar w:fldCharType="begin"/>
      </w:r>
      <w:r w:rsidR="00E2336F" w:rsidRPr="00E2336F">
        <w:rPr>
          <w:lang w:val="sl-SI"/>
        </w:rPr>
        <w:instrText xml:space="preserve"> HYPERLINK "https://doi.org/10.3389/ftox.2022.883254" </w:instrText>
      </w:r>
      <w:r w:rsidR="00E2336F">
        <w:fldChar w:fldCharType="separate"/>
      </w:r>
      <w:r w:rsidRPr="00613A30">
        <w:rPr>
          <w:rStyle w:val="Hyperlink"/>
          <w:color w:val="0000FF"/>
          <w:sz w:val="24"/>
          <w:shd w:val="clear" w:color="auto" w:fill="F7F7F7"/>
          <w:lang w:val="sl-SI"/>
        </w:rPr>
        <w:t>https://doi.org/10.3389/ftox.2022.883254</w:t>
      </w:r>
      <w:r w:rsidR="00E2336F">
        <w:rPr>
          <w:rStyle w:val="Hyperlink"/>
          <w:color w:val="0000FF"/>
          <w:sz w:val="24"/>
          <w:shd w:val="clear" w:color="auto" w:fill="F7F7F7"/>
          <w:lang w:val="sl-SI"/>
        </w:rPr>
        <w:fldChar w:fldCharType="end"/>
      </w:r>
      <w:r w:rsidRPr="00613A30">
        <w:rPr>
          <w:sz w:val="24"/>
          <w:lang w:val="sl-SI"/>
        </w:rPr>
        <w:t>.</w:t>
      </w:r>
    </w:p>
  </w:footnote>
  <w:footnote w:id="11">
    <w:p w:rsidR="00E64774" w:rsidRPr="00613A30" w:rsidRDefault="00E64774" w:rsidP="00273FA9">
      <w:pPr>
        <w:pStyle w:val="FootnoteText"/>
        <w:ind w:left="567" w:hanging="567"/>
        <w:rPr>
          <w:sz w:val="24"/>
          <w:vertAlign w:val="superscript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Pr="00613A30">
        <w:rPr>
          <w:sz w:val="24"/>
          <w:lang w:val="sl-SI"/>
        </w:rPr>
        <w:t>Uredba Komisije (EU) 2018/605 z dne 19. aprila 2018 o spremembi Priloge II k Uredbi (ES) št. 1107/2009 z določitvijo znanstvenih meril za ugotavljanje lastnosti endokrinih motilcev (UL L 101, 20.4.2018, str. 33).</w:t>
      </w:r>
    </w:p>
  </w:footnote>
  <w:footnote w:id="12">
    <w:p w:rsidR="00E64774" w:rsidRPr="00613A30" w:rsidRDefault="00273FA9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sz w:val="24"/>
          <w:lang w:val="sl-SI"/>
        </w:rPr>
        <w:t xml:space="preserve"> </w:t>
      </w:r>
      <w:r w:rsidRPr="00613A30">
        <w:rPr>
          <w:sz w:val="24"/>
          <w:lang w:val="sl-SI"/>
        </w:rPr>
        <w:tab/>
      </w:r>
      <w:r w:rsidR="00E64774" w:rsidRPr="00613A30">
        <w:rPr>
          <w:sz w:val="24"/>
          <w:lang w:val="sl-SI"/>
        </w:rPr>
        <w:t xml:space="preserve">Znanstveno poročilo agencije EFSA o delovni skupini za endokrine aktivne snovi, strokovno glasilo EFSA 2010;8(11):1932, </w:t>
      </w:r>
      <w:hyperlink r:id="rId4" w:history="1">
        <w:r w:rsidR="00E64774" w:rsidRPr="00613A30">
          <w:rPr>
            <w:rStyle w:val="Hyperlink"/>
            <w:sz w:val="24"/>
            <w:lang w:val="sl-SI"/>
          </w:rPr>
          <w:t>https://doi.org/10.2903/j.efsa.2010.1932</w:t>
        </w:r>
      </w:hyperlink>
      <w:r w:rsidR="00E64774" w:rsidRPr="00613A30">
        <w:rPr>
          <w:sz w:val="24"/>
          <w:lang w:val="sl-SI"/>
        </w:rPr>
        <w:t xml:space="preserve">. </w:t>
      </w:r>
    </w:p>
  </w:footnote>
  <w:footnote w:id="13">
    <w:p w:rsidR="00E64774" w:rsidRPr="00613A30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Pr="00613A30">
        <w:rPr>
          <w:sz w:val="24"/>
          <w:lang w:val="sl-SI"/>
        </w:rPr>
        <w:t xml:space="preserve">Zhang, J., </w:t>
      </w:r>
      <w:proofErr w:type="spellStart"/>
      <w:r w:rsidRPr="00613A30">
        <w:rPr>
          <w:sz w:val="24"/>
          <w:lang w:val="sl-SI"/>
        </w:rPr>
        <w:t>Jimenez</w:t>
      </w:r>
      <w:proofErr w:type="spellEnd"/>
      <w:r w:rsidRPr="00613A30">
        <w:rPr>
          <w:sz w:val="24"/>
          <w:lang w:val="sl-SI"/>
        </w:rPr>
        <w:t xml:space="preserve">, L.L., </w:t>
      </w:r>
      <w:proofErr w:type="spellStart"/>
      <w:r w:rsidRPr="00613A30">
        <w:rPr>
          <w:sz w:val="24"/>
          <w:lang w:val="sl-SI"/>
        </w:rPr>
        <w:t>Snelders</w:t>
      </w:r>
      <w:proofErr w:type="spellEnd"/>
      <w:r w:rsidRPr="00613A30">
        <w:rPr>
          <w:sz w:val="24"/>
          <w:lang w:val="sl-SI"/>
        </w:rPr>
        <w:t xml:space="preserve">, E., </w:t>
      </w:r>
      <w:proofErr w:type="spellStart"/>
      <w:r w:rsidRPr="00613A30">
        <w:rPr>
          <w:sz w:val="24"/>
          <w:lang w:val="sl-SI"/>
        </w:rPr>
        <w:t>Debets</w:t>
      </w:r>
      <w:proofErr w:type="spellEnd"/>
      <w:r w:rsidRPr="00613A30">
        <w:rPr>
          <w:sz w:val="24"/>
          <w:lang w:val="sl-SI"/>
        </w:rPr>
        <w:t xml:space="preserve">, A.J.M., </w:t>
      </w:r>
      <w:proofErr w:type="spellStart"/>
      <w:r w:rsidRPr="00613A30">
        <w:rPr>
          <w:sz w:val="24"/>
          <w:lang w:val="sl-SI"/>
        </w:rPr>
        <w:t>Rietveld</w:t>
      </w:r>
      <w:proofErr w:type="spellEnd"/>
      <w:r w:rsidRPr="00613A30">
        <w:rPr>
          <w:sz w:val="24"/>
          <w:lang w:val="sl-SI"/>
        </w:rPr>
        <w:t xml:space="preserve">, A.G., </w:t>
      </w:r>
      <w:proofErr w:type="spellStart"/>
      <w:r w:rsidRPr="00613A30">
        <w:rPr>
          <w:sz w:val="24"/>
          <w:lang w:val="sl-SI"/>
        </w:rPr>
        <w:t>Zwaan</w:t>
      </w:r>
      <w:proofErr w:type="spellEnd"/>
      <w:r w:rsidRPr="00613A30">
        <w:rPr>
          <w:sz w:val="24"/>
          <w:lang w:val="sl-SI"/>
        </w:rPr>
        <w:t xml:space="preserve">, B.J., </w:t>
      </w:r>
      <w:proofErr w:type="spellStart"/>
      <w:r w:rsidRPr="00613A30">
        <w:rPr>
          <w:sz w:val="24"/>
          <w:lang w:val="sl-SI"/>
        </w:rPr>
        <w:t>Verweij</w:t>
      </w:r>
      <w:proofErr w:type="spellEnd"/>
      <w:r w:rsidRPr="00613A30">
        <w:rPr>
          <w:sz w:val="24"/>
          <w:lang w:val="sl-SI"/>
        </w:rPr>
        <w:t xml:space="preserve">, P.E., </w:t>
      </w:r>
      <w:proofErr w:type="spellStart"/>
      <w:r w:rsidRPr="00613A30">
        <w:rPr>
          <w:sz w:val="24"/>
          <w:lang w:val="sl-SI"/>
        </w:rPr>
        <w:t>Schoustra</w:t>
      </w:r>
      <w:proofErr w:type="spellEnd"/>
      <w:r w:rsidRPr="00613A30">
        <w:rPr>
          <w:sz w:val="24"/>
          <w:lang w:val="sl-SI"/>
        </w:rPr>
        <w:t xml:space="preserve">, S.E., „Dynamics </w:t>
      </w:r>
      <w:proofErr w:type="spellStart"/>
      <w:r w:rsidRPr="00613A30">
        <w:rPr>
          <w:sz w:val="24"/>
          <w:lang w:val="sl-SI"/>
        </w:rPr>
        <w:t>of</w:t>
      </w:r>
      <w:proofErr w:type="spellEnd"/>
      <w:r w:rsidRPr="00613A30">
        <w:rPr>
          <w:sz w:val="24"/>
          <w:lang w:val="sl-SI"/>
        </w:rPr>
        <w:t xml:space="preserve"> </w:t>
      </w:r>
      <w:proofErr w:type="spellStart"/>
      <w:r w:rsidRPr="00613A30">
        <w:rPr>
          <w:i/>
          <w:sz w:val="24"/>
          <w:lang w:val="sl-SI"/>
        </w:rPr>
        <w:t>Aspergillus</w:t>
      </w:r>
      <w:proofErr w:type="spellEnd"/>
      <w:r w:rsidRPr="00613A30">
        <w:rPr>
          <w:i/>
          <w:sz w:val="24"/>
          <w:lang w:val="sl-SI"/>
        </w:rPr>
        <w:t xml:space="preserve"> </w:t>
      </w:r>
      <w:proofErr w:type="spellStart"/>
      <w:r w:rsidRPr="00613A30">
        <w:rPr>
          <w:i/>
          <w:sz w:val="24"/>
          <w:lang w:val="sl-SI"/>
        </w:rPr>
        <w:t>fumigatus</w:t>
      </w:r>
      <w:proofErr w:type="spellEnd"/>
      <w:r w:rsidRPr="00613A30">
        <w:rPr>
          <w:sz w:val="24"/>
          <w:lang w:val="sl-SI"/>
        </w:rPr>
        <w:t xml:space="preserve"> in Azole Fungicide-</w:t>
      </w:r>
      <w:proofErr w:type="spellStart"/>
      <w:r w:rsidRPr="00613A30">
        <w:rPr>
          <w:sz w:val="24"/>
          <w:lang w:val="sl-SI"/>
        </w:rPr>
        <w:t>Containing</w:t>
      </w:r>
      <w:proofErr w:type="spellEnd"/>
      <w:r w:rsidRPr="00613A30">
        <w:rPr>
          <w:sz w:val="24"/>
          <w:lang w:val="sl-SI"/>
        </w:rPr>
        <w:t xml:space="preserve"> </w:t>
      </w:r>
      <w:proofErr w:type="spellStart"/>
      <w:r w:rsidRPr="00613A30">
        <w:rPr>
          <w:sz w:val="24"/>
          <w:lang w:val="sl-SI"/>
        </w:rPr>
        <w:t>Plant</w:t>
      </w:r>
      <w:proofErr w:type="spellEnd"/>
      <w:r w:rsidRPr="00613A30">
        <w:rPr>
          <w:sz w:val="24"/>
          <w:lang w:val="sl-SI"/>
        </w:rPr>
        <w:t xml:space="preserve"> </w:t>
      </w:r>
      <w:proofErr w:type="spellStart"/>
      <w:r w:rsidRPr="00613A30">
        <w:rPr>
          <w:sz w:val="24"/>
          <w:lang w:val="sl-SI"/>
        </w:rPr>
        <w:t>Waste</w:t>
      </w:r>
      <w:proofErr w:type="spellEnd"/>
      <w:r w:rsidRPr="00613A30">
        <w:rPr>
          <w:sz w:val="24"/>
          <w:lang w:val="sl-SI"/>
        </w:rPr>
        <w:t xml:space="preserve"> in the </w:t>
      </w:r>
      <w:proofErr w:type="spellStart"/>
      <w:r w:rsidRPr="00613A30">
        <w:rPr>
          <w:sz w:val="24"/>
          <w:lang w:val="sl-SI"/>
        </w:rPr>
        <w:t>Netherlands</w:t>
      </w:r>
      <w:proofErr w:type="spellEnd"/>
      <w:r w:rsidRPr="00613A30">
        <w:rPr>
          <w:sz w:val="24"/>
          <w:lang w:val="sl-SI"/>
        </w:rPr>
        <w:t xml:space="preserve"> (2016-2017)“, </w:t>
      </w:r>
      <w:proofErr w:type="spellStart"/>
      <w:r w:rsidRPr="00613A30">
        <w:rPr>
          <w:sz w:val="24"/>
          <w:lang w:val="sl-SI"/>
        </w:rPr>
        <w:t>Applied</w:t>
      </w:r>
      <w:proofErr w:type="spellEnd"/>
      <w:r w:rsidRPr="00613A30">
        <w:rPr>
          <w:sz w:val="24"/>
          <w:lang w:val="sl-SI"/>
        </w:rPr>
        <w:t xml:space="preserve"> </w:t>
      </w:r>
      <w:proofErr w:type="spellStart"/>
      <w:r w:rsidRPr="00613A30">
        <w:rPr>
          <w:sz w:val="24"/>
          <w:lang w:val="sl-SI"/>
        </w:rPr>
        <w:t>and</w:t>
      </w:r>
      <w:proofErr w:type="spellEnd"/>
      <w:r w:rsidRPr="00613A30">
        <w:rPr>
          <w:sz w:val="24"/>
          <w:lang w:val="sl-SI"/>
        </w:rPr>
        <w:t xml:space="preserve"> </w:t>
      </w:r>
      <w:proofErr w:type="spellStart"/>
      <w:r w:rsidRPr="00613A30">
        <w:rPr>
          <w:sz w:val="24"/>
          <w:lang w:val="sl-SI"/>
        </w:rPr>
        <w:t>Environmental</w:t>
      </w:r>
      <w:proofErr w:type="spellEnd"/>
      <w:r w:rsidRPr="00613A30">
        <w:rPr>
          <w:sz w:val="24"/>
          <w:lang w:val="sl-SI"/>
        </w:rPr>
        <w:t xml:space="preserve"> </w:t>
      </w:r>
      <w:proofErr w:type="spellStart"/>
      <w:r w:rsidRPr="00613A30">
        <w:rPr>
          <w:sz w:val="24"/>
          <w:lang w:val="sl-SI"/>
        </w:rPr>
        <w:t>Microbiology</w:t>
      </w:r>
      <w:proofErr w:type="spellEnd"/>
      <w:r w:rsidRPr="00613A30">
        <w:rPr>
          <w:sz w:val="24"/>
          <w:lang w:val="sl-SI"/>
        </w:rPr>
        <w:t xml:space="preserve"> 2021, 87:e02295-20, </w:t>
      </w:r>
      <w:hyperlink r:id="rId5" w:history="1">
        <w:r w:rsidRPr="00613A30">
          <w:rPr>
            <w:rStyle w:val="Hyperlink"/>
            <w:sz w:val="24"/>
            <w:lang w:val="sl-SI"/>
          </w:rPr>
          <w:t>https://doi.org/10.1128/AEM.02295-20</w:t>
        </w:r>
      </w:hyperlink>
      <w:r w:rsidRPr="00613A30">
        <w:rPr>
          <w:color w:val="000000"/>
          <w:sz w:val="24"/>
          <w:lang w:val="sl-SI"/>
        </w:rPr>
        <w:t xml:space="preserve">; danski odbor za okolje in prehrano o odpornosti proti </w:t>
      </w:r>
      <w:proofErr w:type="spellStart"/>
      <w:r w:rsidRPr="00613A30">
        <w:rPr>
          <w:color w:val="000000"/>
          <w:sz w:val="24"/>
          <w:lang w:val="sl-SI"/>
        </w:rPr>
        <w:t>azolom</w:t>
      </w:r>
      <w:proofErr w:type="spellEnd"/>
      <w:r w:rsidRPr="00613A30">
        <w:rPr>
          <w:color w:val="000000"/>
          <w:sz w:val="24"/>
          <w:lang w:val="sl-SI"/>
        </w:rPr>
        <w:t xml:space="preserve">, </w:t>
      </w:r>
      <w:hyperlink r:id="rId6" w:history="1">
        <w:r w:rsidRPr="00613A30">
          <w:rPr>
            <w:rStyle w:val="Hyperlink"/>
            <w:sz w:val="24"/>
            <w:lang w:val="sl-SI"/>
          </w:rPr>
          <w:t>https://www.ft.dk/samling/20181/almdel/MOF/bilag/407/2016336.pdf</w:t>
        </w:r>
      </w:hyperlink>
      <w:r w:rsidRPr="00613A30">
        <w:rPr>
          <w:color w:val="000000"/>
          <w:sz w:val="24"/>
          <w:lang w:val="sl-SI"/>
        </w:rPr>
        <w:t xml:space="preserve">; </w:t>
      </w:r>
      <w:proofErr w:type="spellStart"/>
      <w:r w:rsidRPr="00613A30">
        <w:rPr>
          <w:color w:val="000000"/>
          <w:sz w:val="24"/>
          <w:lang w:val="sl-SI"/>
        </w:rPr>
        <w:t>Snelders</w:t>
      </w:r>
      <w:proofErr w:type="spellEnd"/>
      <w:r w:rsidRPr="00613A30">
        <w:rPr>
          <w:color w:val="000000"/>
          <w:sz w:val="24"/>
          <w:lang w:val="sl-SI"/>
        </w:rPr>
        <w:t xml:space="preserve">, E., </w:t>
      </w:r>
      <w:proofErr w:type="spellStart"/>
      <w:r w:rsidRPr="00613A30">
        <w:rPr>
          <w:color w:val="000000"/>
          <w:sz w:val="24"/>
          <w:lang w:val="sl-SI"/>
        </w:rPr>
        <w:t>Camps</w:t>
      </w:r>
      <w:proofErr w:type="spellEnd"/>
      <w:r w:rsidRPr="00613A30">
        <w:rPr>
          <w:color w:val="000000"/>
          <w:sz w:val="24"/>
          <w:lang w:val="sl-SI"/>
        </w:rPr>
        <w:t xml:space="preserve">, S.M.T., </w:t>
      </w:r>
      <w:proofErr w:type="spellStart"/>
      <w:r w:rsidRPr="00613A30">
        <w:rPr>
          <w:color w:val="000000"/>
          <w:sz w:val="24"/>
          <w:lang w:val="sl-SI"/>
        </w:rPr>
        <w:t>Karawajczyk</w:t>
      </w:r>
      <w:proofErr w:type="spellEnd"/>
      <w:r w:rsidRPr="00613A30">
        <w:rPr>
          <w:color w:val="000000"/>
          <w:sz w:val="24"/>
          <w:lang w:val="sl-SI"/>
        </w:rPr>
        <w:t xml:space="preserve">, A., </w:t>
      </w:r>
      <w:proofErr w:type="spellStart"/>
      <w:r w:rsidRPr="00613A30">
        <w:rPr>
          <w:color w:val="000000"/>
          <w:sz w:val="24"/>
          <w:lang w:val="sl-SI"/>
        </w:rPr>
        <w:t>Schaftenaar</w:t>
      </w:r>
      <w:proofErr w:type="spellEnd"/>
      <w:r w:rsidRPr="00613A30">
        <w:rPr>
          <w:color w:val="000000"/>
          <w:sz w:val="24"/>
          <w:lang w:val="sl-SI"/>
        </w:rPr>
        <w:t>, G., Kema, G.H.J., van der Lee, H.A., et al., „</w:t>
      </w:r>
      <w:proofErr w:type="spellStart"/>
      <w:r w:rsidRPr="00613A30">
        <w:rPr>
          <w:color w:val="000000"/>
          <w:sz w:val="24"/>
          <w:lang w:val="sl-SI"/>
        </w:rPr>
        <w:t>Triazole</w:t>
      </w:r>
      <w:proofErr w:type="spellEnd"/>
      <w:r w:rsidRPr="00613A30">
        <w:rPr>
          <w:color w:val="000000"/>
          <w:sz w:val="24"/>
          <w:lang w:val="sl-SI"/>
        </w:rPr>
        <w:t xml:space="preserve"> </w:t>
      </w:r>
      <w:proofErr w:type="spellStart"/>
      <w:r w:rsidRPr="00613A30">
        <w:rPr>
          <w:color w:val="000000"/>
          <w:sz w:val="24"/>
          <w:lang w:val="sl-SI"/>
        </w:rPr>
        <w:t>Fungicides</w:t>
      </w:r>
      <w:proofErr w:type="spellEnd"/>
      <w:r w:rsidRPr="00613A30">
        <w:rPr>
          <w:color w:val="000000"/>
          <w:sz w:val="24"/>
          <w:lang w:val="sl-SI"/>
        </w:rPr>
        <w:t xml:space="preserve"> </w:t>
      </w:r>
      <w:proofErr w:type="spellStart"/>
      <w:r w:rsidRPr="00613A30">
        <w:rPr>
          <w:color w:val="000000"/>
          <w:sz w:val="24"/>
          <w:lang w:val="sl-SI"/>
        </w:rPr>
        <w:t>Can</w:t>
      </w:r>
      <w:proofErr w:type="spellEnd"/>
      <w:r w:rsidRPr="00613A30">
        <w:rPr>
          <w:color w:val="000000"/>
          <w:sz w:val="24"/>
          <w:lang w:val="sl-SI"/>
        </w:rPr>
        <w:t xml:space="preserve"> </w:t>
      </w:r>
      <w:proofErr w:type="spellStart"/>
      <w:r w:rsidRPr="00613A30">
        <w:rPr>
          <w:color w:val="000000"/>
          <w:sz w:val="24"/>
          <w:lang w:val="sl-SI"/>
        </w:rPr>
        <w:t>Induce</w:t>
      </w:r>
      <w:proofErr w:type="spellEnd"/>
      <w:r w:rsidRPr="00613A30">
        <w:rPr>
          <w:color w:val="000000"/>
          <w:sz w:val="24"/>
          <w:lang w:val="sl-SI"/>
        </w:rPr>
        <w:t xml:space="preserve"> </w:t>
      </w:r>
      <w:proofErr w:type="spellStart"/>
      <w:r w:rsidRPr="00613A30">
        <w:rPr>
          <w:color w:val="000000"/>
          <w:sz w:val="24"/>
          <w:lang w:val="sl-SI"/>
        </w:rPr>
        <w:t>Cross-Resistance</w:t>
      </w:r>
      <w:proofErr w:type="spellEnd"/>
      <w:r w:rsidRPr="00613A30">
        <w:rPr>
          <w:color w:val="000000"/>
          <w:sz w:val="24"/>
          <w:lang w:val="sl-SI"/>
        </w:rPr>
        <w:t xml:space="preserve"> to Medical </w:t>
      </w:r>
      <w:proofErr w:type="spellStart"/>
      <w:r w:rsidRPr="00613A30">
        <w:rPr>
          <w:color w:val="000000"/>
          <w:sz w:val="24"/>
          <w:lang w:val="sl-SI"/>
        </w:rPr>
        <w:t>Triazoles</w:t>
      </w:r>
      <w:proofErr w:type="spellEnd"/>
      <w:r w:rsidRPr="00613A30">
        <w:rPr>
          <w:color w:val="000000"/>
          <w:sz w:val="24"/>
          <w:lang w:val="sl-SI"/>
        </w:rPr>
        <w:t xml:space="preserve"> in </w:t>
      </w:r>
      <w:proofErr w:type="spellStart"/>
      <w:r w:rsidRPr="00613A30">
        <w:rPr>
          <w:i/>
          <w:color w:val="000000"/>
          <w:sz w:val="24"/>
          <w:lang w:val="sl-SI"/>
        </w:rPr>
        <w:t>Aspergillus</w:t>
      </w:r>
      <w:proofErr w:type="spellEnd"/>
      <w:r w:rsidRPr="00613A30">
        <w:rPr>
          <w:i/>
          <w:color w:val="000000"/>
          <w:sz w:val="24"/>
          <w:lang w:val="sl-SI"/>
        </w:rPr>
        <w:t xml:space="preserve"> </w:t>
      </w:r>
      <w:proofErr w:type="spellStart"/>
      <w:r w:rsidRPr="00613A30">
        <w:rPr>
          <w:i/>
          <w:color w:val="000000"/>
          <w:sz w:val="24"/>
          <w:lang w:val="sl-SI"/>
        </w:rPr>
        <w:t>fumigatus</w:t>
      </w:r>
      <w:proofErr w:type="spellEnd"/>
      <w:r w:rsidRPr="00613A30">
        <w:rPr>
          <w:i/>
          <w:color w:val="000000"/>
          <w:sz w:val="24"/>
          <w:lang w:val="sl-SI"/>
        </w:rPr>
        <w:t>“</w:t>
      </w:r>
      <w:r w:rsidRPr="00613A30">
        <w:rPr>
          <w:color w:val="000000"/>
          <w:sz w:val="24"/>
          <w:lang w:val="sl-SI"/>
        </w:rPr>
        <w:t xml:space="preserve">. </w:t>
      </w:r>
      <w:proofErr w:type="spellStart"/>
      <w:r w:rsidRPr="00613A30">
        <w:rPr>
          <w:color w:val="000000"/>
          <w:sz w:val="24"/>
          <w:lang w:val="sl-SI"/>
        </w:rPr>
        <w:t>PLoS</w:t>
      </w:r>
      <w:proofErr w:type="spellEnd"/>
      <w:r w:rsidRPr="00613A30">
        <w:rPr>
          <w:color w:val="000000"/>
          <w:sz w:val="24"/>
          <w:lang w:val="sl-SI"/>
        </w:rPr>
        <w:t xml:space="preserve"> ONE 2012, 7(3): e31801. https://doi.org/10.1371/journal.pone.0031801.</w:t>
      </w:r>
    </w:p>
  </w:footnote>
  <w:footnote w:id="14">
    <w:p w:rsidR="00E64774" w:rsidRPr="00613A30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="00E2336F">
        <w:fldChar w:fldCharType="begin"/>
      </w:r>
      <w:r w:rsidR="00E2336F" w:rsidRPr="00E2336F">
        <w:rPr>
          <w:lang w:val="sl-SI"/>
        </w:rPr>
        <w:instrText xml:space="preserve"> HYPERL</w:instrText>
      </w:r>
      <w:r w:rsidR="00E2336F" w:rsidRPr="00E2336F">
        <w:rPr>
          <w:lang w:val="sl-SI"/>
        </w:rPr>
        <w:instrText xml:space="preserve">INK "https://open.efsa.europa.eu/question/EFSA-Q-2022-00040" </w:instrText>
      </w:r>
      <w:r w:rsidR="00E2336F">
        <w:fldChar w:fldCharType="separate"/>
      </w:r>
      <w:r w:rsidRPr="00613A30">
        <w:rPr>
          <w:rStyle w:val="Hyperlink"/>
          <w:sz w:val="24"/>
          <w:lang w:val="sl-SI"/>
        </w:rPr>
        <w:t>https://open.efsa.europa.eu/question/EFSA-Q-2022-00040</w:t>
      </w:r>
      <w:r w:rsidR="00E2336F">
        <w:rPr>
          <w:rStyle w:val="Hyperlink"/>
          <w:sz w:val="24"/>
          <w:lang w:val="sl-SI"/>
        </w:rPr>
        <w:fldChar w:fldCharType="end"/>
      </w:r>
    </w:p>
  </w:footnote>
  <w:footnote w:id="15">
    <w:p w:rsidR="00E64774" w:rsidRPr="00613A30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rStyle w:val="FootnoteReference"/>
          <w:sz w:val="24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="00E2336F">
        <w:fldChar w:fldCharType="begin"/>
      </w:r>
      <w:r w:rsidR="00E2336F" w:rsidRPr="00E2336F">
        <w:rPr>
          <w:lang w:val="sl-SI"/>
        </w:rPr>
        <w:instrText xml:space="preserve"> HYPERLINK "https://ec.europa.eu/transparency/comitology-register/screen/documents/089880/5/consult?lang=en" </w:instrText>
      </w:r>
      <w:r w:rsidR="00E2336F">
        <w:fldChar w:fldCharType="separate"/>
      </w:r>
      <w:r w:rsidRPr="00613A30">
        <w:rPr>
          <w:rStyle w:val="Hyperlink"/>
          <w:sz w:val="24"/>
          <w:lang w:val="sl-SI"/>
        </w:rPr>
        <w:t>https://ec.europa.eu/transparency/comitology-register/screen/documents/089880/5/consult?lang=en</w:t>
      </w:r>
      <w:r w:rsidR="00E2336F">
        <w:rPr>
          <w:rStyle w:val="Hyperlink"/>
          <w:sz w:val="24"/>
          <w:lang w:val="sl-SI"/>
        </w:rPr>
        <w:fldChar w:fldCharType="end"/>
      </w:r>
    </w:p>
  </w:footnote>
  <w:footnote w:id="16">
    <w:p w:rsidR="00E64774" w:rsidRPr="00273FA9" w:rsidRDefault="00E64774" w:rsidP="00273FA9">
      <w:pPr>
        <w:pStyle w:val="FootnoteText"/>
        <w:ind w:left="567" w:hanging="567"/>
        <w:rPr>
          <w:sz w:val="24"/>
          <w:lang w:val="sl-SI"/>
        </w:rPr>
      </w:pPr>
      <w:r w:rsidRPr="00613A30">
        <w:rPr>
          <w:sz w:val="24"/>
          <w:vertAlign w:val="superscript"/>
          <w:lang w:val="sl-SI"/>
        </w:rPr>
        <w:footnoteRef/>
      </w:r>
      <w:r w:rsidR="00273FA9" w:rsidRPr="00613A30">
        <w:rPr>
          <w:sz w:val="24"/>
          <w:lang w:val="sl-SI"/>
        </w:rPr>
        <w:t xml:space="preserve"> </w:t>
      </w:r>
      <w:r w:rsidR="00273FA9" w:rsidRPr="00613A30">
        <w:rPr>
          <w:sz w:val="24"/>
          <w:lang w:val="sl-SI"/>
        </w:rPr>
        <w:tab/>
      </w:r>
      <w:r w:rsidRPr="00613A30">
        <w:rPr>
          <w:sz w:val="24"/>
          <w:lang w:val="sl-SI"/>
        </w:rPr>
        <w:t>COM(2020)0381.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3FA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3FA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3FA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1/2024"/>
    <w:docVar w:name="dvlangue" w:val="SL"/>
    <w:docVar w:name="dvnumam" w:val="0"/>
    <w:docVar w:name="dvpe" w:val="763.091"/>
    <w:docVar w:name="dvtitre" w:val="Resolucija Evropskega parlamenta z dne … 2024 o osnutku uredbe Komisije o spremembi prilog II in III k Uredbi Evropskega parlamenta in Sveta (ES) št. 396/2005 glede mejnih vrednosti ostankov za ciprokonazol in spirodiklofen v ali na nekaterih proizvodih(D091952/05 – 2024/2759(RPS))"/>
  </w:docVars>
  <w:rsids>
    <w:rsidRoot w:val="00176538"/>
    <w:rsid w:val="00002272"/>
    <w:rsid w:val="00064002"/>
    <w:rsid w:val="000677B9"/>
    <w:rsid w:val="000831BA"/>
    <w:rsid w:val="000A42CC"/>
    <w:rsid w:val="000E7DD9"/>
    <w:rsid w:val="0010095E"/>
    <w:rsid w:val="00125B37"/>
    <w:rsid w:val="00176538"/>
    <w:rsid w:val="00187494"/>
    <w:rsid w:val="001F32AE"/>
    <w:rsid w:val="00273FA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3A30"/>
    <w:rsid w:val="0062680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8A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65C"/>
    <w:rsid w:val="00DF458E"/>
    <w:rsid w:val="00E2336F"/>
    <w:rsid w:val="00E365E1"/>
    <w:rsid w:val="00E6477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9F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391563-8C32-48D1-8FC7-9948C20D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4774"/>
    <w:pPr>
      <w:spacing w:before="480" w:after="240"/>
    </w:pPr>
  </w:style>
  <w:style w:type="paragraph" w:customStyle="1" w:styleId="NormalHanging12a">
    <w:name w:val="NormalHanging12a"/>
    <w:basedOn w:val="Normal"/>
    <w:uiPriority w:val="99"/>
    <w:rsid w:val="00E64774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E6477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DD36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D365C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ha.europa.eu/documents/10162/6d98baeb-24aa-a683-28ec-d8adabee5461" TargetMode="External"/><Relationship Id="rId2" Type="http://schemas.openxmlformats.org/officeDocument/2006/relationships/hyperlink" Target="https://doi.org/10.2903/j.efsa.2010.1897" TargetMode="External"/><Relationship Id="rId1" Type="http://schemas.openxmlformats.org/officeDocument/2006/relationships/hyperlink" Target="https://doi.org/10.2903/j.efsa.2021.6483" TargetMode="External"/><Relationship Id="rId6" Type="http://schemas.openxmlformats.org/officeDocument/2006/relationships/hyperlink" Target="https://www.ft.dk/samling/20181/almdel/MOF/bilag/407/2016336.pdf" TargetMode="External"/><Relationship Id="rId5" Type="http://schemas.openxmlformats.org/officeDocument/2006/relationships/hyperlink" Target="https://doi.org/10.1128/AEM.02295-20" TargetMode="External"/><Relationship Id="rId4" Type="http://schemas.openxmlformats.org/officeDocument/2006/relationships/hyperlink" Target="https://doi.org/10.2903/j.efsa.2010.19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815B6-AD9C-4EAC-AC8E-84480045B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1770</Words>
  <Characters>9790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SEMEDO Teresa</cp:lastModifiedBy>
  <cp:revision>2</cp:revision>
  <cp:lastPrinted>2004-11-19T15:42:00Z</cp:lastPrinted>
  <dcterms:created xsi:type="dcterms:W3CDTF">2024-11-18T12:49:00Z</dcterms:created>
  <dcterms:modified xsi:type="dcterms:W3CDTF">2024-11-18T12:49:00Z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P10_TA(2024)0007_</vt:lpwstr>
  </property>
  <property fmtid="{D5CDD505-2E9C-101B-9397-08002B2CF9AE}" pid="4" name="&lt;Type&gt;">
    <vt:lpwstr>RR</vt:lpwstr>
  </property>
</Properties>
</file>