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1021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1021E" w:rsidRDefault="002448EC" w:rsidP="0010095E">
            <w:pPr>
              <w:pStyle w:val="EPName"/>
            </w:pPr>
            <w:r w:rsidRPr="00A1021E">
              <w:t>Europski parlament</w:t>
            </w:r>
          </w:p>
          <w:p w:rsidR="00751A4A" w:rsidRPr="00A1021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1021E">
              <w:t>2024</w:t>
            </w:r>
            <w:r w:rsidR="00817416" w:rsidRPr="00A1021E">
              <w:t>-202</w:t>
            </w:r>
            <w:r w:rsidRPr="00A1021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1021E" w:rsidRDefault="00187494" w:rsidP="0010095E">
            <w:pPr>
              <w:pStyle w:val="EPLogo"/>
            </w:pPr>
            <w:r w:rsidRPr="00A1021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1021E" w:rsidRDefault="00D058B8" w:rsidP="004C5D52">
      <w:pPr>
        <w:pStyle w:val="LineTop"/>
      </w:pPr>
    </w:p>
    <w:p w:rsidR="00680577" w:rsidRPr="00A1021E" w:rsidRDefault="002448EC" w:rsidP="00680577">
      <w:pPr>
        <w:pStyle w:val="EPBodyTA1"/>
      </w:pPr>
      <w:r w:rsidRPr="00A1021E">
        <w:t>USVOJENI TEKSTOVI</w:t>
      </w:r>
    </w:p>
    <w:p w:rsidR="00D058B8" w:rsidRPr="00A1021E" w:rsidRDefault="00D058B8" w:rsidP="00D058B8">
      <w:pPr>
        <w:pStyle w:val="LineBottom"/>
      </w:pPr>
    </w:p>
    <w:p w:rsidR="002448EC" w:rsidRPr="00A1021E" w:rsidRDefault="002448EC" w:rsidP="002448EC">
      <w:pPr>
        <w:pStyle w:val="ATHeading1"/>
      </w:pPr>
      <w:bookmarkStart w:id="0" w:name="TANumber"/>
      <w:r w:rsidRPr="00A1021E">
        <w:t>P10_TA(2024)00</w:t>
      </w:r>
      <w:r w:rsidR="00961693">
        <w:t>14</w:t>
      </w:r>
      <w:bookmarkEnd w:id="0"/>
    </w:p>
    <w:p w:rsidR="002448EC" w:rsidRPr="00A1021E" w:rsidRDefault="002448EC" w:rsidP="002448EC">
      <w:pPr>
        <w:pStyle w:val="ATHeading2"/>
      </w:pPr>
      <w:bookmarkStart w:id="1" w:name="title"/>
      <w:r w:rsidRPr="00A1021E">
        <w:t>Razorne poplave u srednjoj i istočnoj Europi, gubitak života i pripravnost EU-a za djelovanje u slučaju takvih katastrofa pogoršanih klimatskim promjenama</w:t>
      </w:r>
      <w:bookmarkEnd w:id="1"/>
    </w:p>
    <w:p w:rsidR="002448EC" w:rsidRPr="00A1021E" w:rsidRDefault="002448EC" w:rsidP="002448EC">
      <w:pPr>
        <w:rPr>
          <w:i/>
          <w:vanish/>
        </w:rPr>
      </w:pPr>
      <w:r w:rsidRPr="00A1021E">
        <w:rPr>
          <w:i/>
        </w:rPr>
        <w:fldChar w:fldCharType="begin"/>
      </w:r>
      <w:r w:rsidRPr="00A1021E">
        <w:rPr>
          <w:i/>
        </w:rPr>
        <w:instrText xml:space="preserve"> TC"(</w:instrText>
      </w:r>
      <w:bookmarkStart w:id="2" w:name="DocNumber"/>
      <w:r w:rsidRPr="00A1021E">
        <w:rPr>
          <w:i/>
        </w:rPr>
        <w:instrText>B10-0057</w:instrText>
      </w:r>
      <w:r w:rsidR="00A1021E">
        <w:rPr>
          <w:i/>
        </w:rPr>
        <w:instrText>, 0058, 0059, 0060, 0061 i 0063</w:instrText>
      </w:r>
      <w:r w:rsidRPr="00A1021E">
        <w:rPr>
          <w:i/>
        </w:rPr>
        <w:instrText>/2024</w:instrText>
      </w:r>
      <w:bookmarkEnd w:id="2"/>
      <w:r w:rsidRPr="00A1021E">
        <w:rPr>
          <w:i/>
        </w:rPr>
        <w:instrText xml:space="preserve">)"\l3 \n&gt; \* MERGEFORMAT </w:instrText>
      </w:r>
      <w:r w:rsidRPr="00A1021E">
        <w:rPr>
          <w:i/>
        </w:rPr>
        <w:fldChar w:fldCharType="end"/>
      </w:r>
    </w:p>
    <w:p w:rsidR="002448EC" w:rsidRPr="00A1021E" w:rsidRDefault="002448EC" w:rsidP="002448EC">
      <w:pPr>
        <w:rPr>
          <w:vanish/>
        </w:rPr>
      </w:pPr>
      <w:bookmarkStart w:id="3" w:name="PE"/>
      <w:r w:rsidRPr="00A1021E">
        <w:rPr>
          <w:vanish/>
        </w:rPr>
        <w:t>PE764.075</w:t>
      </w:r>
      <w:bookmarkEnd w:id="3"/>
    </w:p>
    <w:p w:rsidR="002448EC" w:rsidRPr="00A1021E" w:rsidRDefault="002448EC" w:rsidP="002448EC">
      <w:pPr>
        <w:pStyle w:val="ATHeading3"/>
      </w:pPr>
      <w:bookmarkStart w:id="4" w:name="Sujet"/>
      <w:r w:rsidRPr="00A1021E">
        <w:t>Rezolu</w:t>
      </w:r>
      <w:r w:rsidR="00A1021E">
        <w:t>cija Europskog parlamenta od 19</w:t>
      </w:r>
      <w:r w:rsidRPr="00A1021E">
        <w:t xml:space="preserve">. </w:t>
      </w:r>
      <w:r w:rsidR="00A1021E">
        <w:t xml:space="preserve">rujna </w:t>
      </w:r>
      <w:r w:rsidRPr="00A1021E">
        <w:t>2024. o razornim poplavama u srednjoj i istočnoj Europi, gubitku života i pripravnosti EU-a za djelovanje u slučaju takvih katastrofa pogoršanih klimatskim promjenama</w:t>
      </w:r>
      <w:bookmarkEnd w:id="4"/>
      <w:r w:rsidRPr="00A1021E">
        <w:t xml:space="preserve"> </w:t>
      </w:r>
      <w:bookmarkStart w:id="5" w:name="References"/>
      <w:r w:rsidRPr="00A1021E">
        <w:t>(2024/2817(RSP))</w:t>
      </w:r>
      <w:bookmarkEnd w:id="5"/>
    </w:p>
    <w:p w:rsidR="00641661" w:rsidRPr="00A1021E" w:rsidRDefault="00641661" w:rsidP="00641661">
      <w:pPr>
        <w:pStyle w:val="EPComma"/>
      </w:pPr>
      <w:bookmarkStart w:id="6" w:name="TextBodyBegin"/>
      <w:bookmarkEnd w:id="6"/>
      <w:r w:rsidRPr="00A1021E">
        <w:rPr>
          <w:i/>
        </w:rPr>
        <w:t>Europski parlament</w:t>
      </w:r>
      <w:r w:rsidRPr="00A1021E">
        <w:t>,</w:t>
      </w:r>
    </w:p>
    <w:p w:rsidR="00641661" w:rsidRPr="00A1021E" w:rsidRDefault="00641661" w:rsidP="00641661">
      <w:pPr>
        <w:pStyle w:val="NormalHanging12a"/>
      </w:pPr>
      <w:r w:rsidRPr="00A1021E">
        <w:t>−</w:t>
      </w:r>
      <w:r w:rsidRPr="00A1021E">
        <w:tab/>
        <w:t>uzimajući u obzir Okvirnu konvenciju UN-a o klimatskim promjenama, a posebno njezin Pariški sporazum iz 2015., koji je stupio na snagu 4. studenoga 2016.,</w:t>
      </w:r>
    </w:p>
    <w:p w:rsidR="00641661" w:rsidRPr="00A1021E" w:rsidRDefault="00641661" w:rsidP="00641661">
      <w:pPr>
        <w:pStyle w:val="NormalHanging12a"/>
      </w:pPr>
      <w:r w:rsidRPr="00A1021E">
        <w:t>−</w:t>
      </w:r>
      <w:r w:rsidRPr="00A1021E">
        <w:tab/>
        <w:t>uzimajući u obzir Konvenciju Ujedinjenih naroda o biološkoj raznolikosti,</w:t>
      </w:r>
    </w:p>
    <w:p w:rsidR="00641661" w:rsidRPr="00A1021E" w:rsidRDefault="00641661" w:rsidP="00641661">
      <w:pPr>
        <w:pStyle w:val="NormalHanging12a"/>
      </w:pPr>
      <w:r w:rsidRPr="00A1021E">
        <w:t>−</w:t>
      </w:r>
      <w:r w:rsidRPr="00A1021E">
        <w:tab/>
        <w:t>uzimajući u obzir ciljeve UN-a u pogledu održivog razvoja,</w:t>
      </w:r>
    </w:p>
    <w:p w:rsidR="00641661" w:rsidRPr="00A1021E" w:rsidRDefault="00641661" w:rsidP="00641661">
      <w:pPr>
        <w:pStyle w:val="NormalHanging12a"/>
      </w:pPr>
      <w:r w:rsidRPr="00A1021E">
        <w:t>−</w:t>
      </w:r>
      <w:r w:rsidRPr="00A1021E">
        <w:tab/>
        <w:t>uzimajući u obzir Komisijinu provjeru prikladnosti Okvirne direktive o vodama, Direktive o podzemnim vodama, Direktive o standardima kvalitete okoliša i Direktive o poplavama iz 2019. (SWD(2019)0439),</w:t>
      </w:r>
    </w:p>
    <w:p w:rsidR="00641661" w:rsidRPr="00A1021E" w:rsidRDefault="00641661" w:rsidP="00641661">
      <w:pPr>
        <w:pStyle w:val="NormalHanging12a"/>
      </w:pPr>
      <w:r w:rsidRPr="00A1021E">
        <w:t>−</w:t>
      </w:r>
      <w:r w:rsidRPr="00A1021E">
        <w:tab/>
        <w:t>uzimajući u obzir komunikaciju Komisije od 24. veljače 2021. naslovljenu „Stvaranje Europe otporne na klimatske promjene – nova strategija EU-a za prilagodbu klimatskim promjenama” (COM(2021)0082),</w:t>
      </w:r>
    </w:p>
    <w:p w:rsidR="00641661" w:rsidRPr="00A1021E" w:rsidRDefault="00641661" w:rsidP="00641661">
      <w:pPr>
        <w:pStyle w:val="NormalHanging12a"/>
      </w:pPr>
      <w:r w:rsidRPr="00A1021E">
        <w:t>−</w:t>
      </w:r>
      <w:r w:rsidRPr="00A1021E">
        <w:tab/>
        <w:t>uzimajući u obzir svoju Rezoluciju od 17. prosinca 2020. o strategiji EU-a za prilagodbu klimatskim promjenama</w:t>
      </w:r>
      <w:r w:rsidRPr="00A1021E">
        <w:rPr>
          <w:rStyle w:val="FootnoteReference"/>
        </w:rPr>
        <w:footnoteReference w:id="1"/>
      </w:r>
      <w:r w:rsidRPr="00A1021E">
        <w:t>,</w:t>
      </w:r>
    </w:p>
    <w:p w:rsidR="00641661" w:rsidRPr="00A1021E" w:rsidRDefault="00641661" w:rsidP="00641661">
      <w:pPr>
        <w:pStyle w:val="NormalHanging12a"/>
      </w:pPr>
      <w:r w:rsidRPr="00A1021E">
        <w:t>−</w:t>
      </w:r>
      <w:r w:rsidRPr="00A1021E">
        <w:tab/>
        <w:t>uzimajući u obzir Smjernice Komisije o strategijama i planovima prilagodbe država članica od 26. srpnja 2023.,</w:t>
      </w:r>
    </w:p>
    <w:p w:rsidR="00641661" w:rsidRPr="00A1021E" w:rsidRDefault="00641661" w:rsidP="00641661">
      <w:pPr>
        <w:pStyle w:val="NormalHanging12a"/>
      </w:pPr>
      <w:r w:rsidRPr="00A1021E">
        <w:t>−</w:t>
      </w:r>
      <w:r w:rsidRPr="00A1021E">
        <w:tab/>
        <w:t>uzimajući u obzir svoju Rezoluciju od 15. rujna 2022. o posljedicama suše, požara i drugih ekstremnih vremenskih uvjeta: povećanje napora EU-a u borbi protiv klimatskih promjena</w:t>
      </w:r>
      <w:r w:rsidRPr="00A1021E">
        <w:rPr>
          <w:rStyle w:val="FootnoteReference"/>
        </w:rPr>
        <w:footnoteReference w:id="2"/>
      </w:r>
      <w:r w:rsidRPr="00A1021E">
        <w:t>,</w:t>
      </w:r>
    </w:p>
    <w:p w:rsidR="00641661" w:rsidRPr="00A1021E" w:rsidRDefault="00641661" w:rsidP="00641661">
      <w:pPr>
        <w:pStyle w:val="NormalHanging12a"/>
      </w:pPr>
      <w:r w:rsidRPr="00A1021E">
        <w:lastRenderedPageBreak/>
        <w:t>−</w:t>
      </w:r>
      <w:r w:rsidRPr="00A1021E">
        <w:tab/>
        <w:t>uzimajući u obzir svoju Rezoluciju od 15. lipnja 2023. o Danu EU-a za žrtve svjetske klimatske krize</w:t>
      </w:r>
      <w:r w:rsidRPr="00A1021E">
        <w:rPr>
          <w:rStyle w:val="FootnoteReference"/>
        </w:rPr>
        <w:footnoteReference w:id="3"/>
      </w:r>
      <w:r w:rsidRPr="00A1021E">
        <w:t>,</w:t>
      </w:r>
    </w:p>
    <w:p w:rsidR="00641661" w:rsidRPr="00A1021E" w:rsidRDefault="00641661" w:rsidP="00641661">
      <w:pPr>
        <w:pStyle w:val="NormalHanging12a"/>
      </w:pPr>
      <w:r w:rsidRPr="00A1021E">
        <w:t>−</w:t>
      </w:r>
      <w:r w:rsidRPr="00A1021E">
        <w:tab/>
        <w:t>uzimajući u obzir izvješće Europske agencije za okoliš (EEA) br. 1/2024 od 11. ožujka 2024. naslovljeno „Europska procjena klimatskih rizika”,</w:t>
      </w:r>
    </w:p>
    <w:p w:rsidR="00641661" w:rsidRPr="00A1021E" w:rsidRDefault="00641661" w:rsidP="00641661">
      <w:pPr>
        <w:pStyle w:val="NormalHanging12a"/>
      </w:pPr>
      <w:r w:rsidRPr="00A1021E">
        <w:t>−</w:t>
      </w:r>
      <w:r w:rsidRPr="00A1021E">
        <w:tab/>
        <w:t>uzimajući u obzir komunikaciju Komisije od 12. ožujka 2024. naslovljenu „Upravljanje klimatskim rizicima – zaštita ljudi i blagostanja” (COM(2024)0091),</w:t>
      </w:r>
    </w:p>
    <w:p w:rsidR="00641661" w:rsidRPr="00A1021E" w:rsidRDefault="00641661" w:rsidP="00641661">
      <w:pPr>
        <w:pStyle w:val="NormalHanging12a"/>
      </w:pPr>
      <w:r w:rsidRPr="00A1021E">
        <w:t>−</w:t>
      </w:r>
      <w:r w:rsidRPr="00A1021E">
        <w:tab/>
        <w:t xml:space="preserve">uzimajući u obzir izvješće </w:t>
      </w:r>
      <w:r w:rsidR="00256856">
        <w:t xml:space="preserve">Europske agencije za okoliš </w:t>
      </w:r>
      <w:bookmarkStart w:id="7" w:name="_GoBack"/>
      <w:bookmarkEnd w:id="7"/>
      <w:r w:rsidRPr="00A1021E">
        <w:t>3/2024 od 15. svibnja 2024. naslovljeno „Pružanje odgovora na utjecaj klimatskih promjena na zdravlje ljudi u Europi: usmjerenost na poplave, suše i kvalitetu vode”,</w:t>
      </w:r>
    </w:p>
    <w:p w:rsidR="00641661" w:rsidRPr="00A1021E" w:rsidRDefault="00641661" w:rsidP="00641661">
      <w:pPr>
        <w:pStyle w:val="NormalHanging12a"/>
      </w:pPr>
      <w:r w:rsidRPr="00A1021E">
        <w:t>−</w:t>
      </w:r>
      <w:r w:rsidRPr="00A1021E">
        <w:tab/>
        <w:t>uzimajući u obzir završno izvješće o dijalogu o otpornosti na klimatske promjene objavljeno u srpnju 2024.,</w:t>
      </w:r>
    </w:p>
    <w:p w:rsidR="00641661" w:rsidRPr="00A1021E" w:rsidRDefault="00641661" w:rsidP="00641661">
      <w:pPr>
        <w:pStyle w:val="NormalHanging12a"/>
      </w:pPr>
      <w:r w:rsidRPr="00A1021E">
        <w:t>−</w:t>
      </w:r>
      <w:r w:rsidRPr="00A1021E">
        <w:tab/>
        <w:t>uzimajući u obzir komunikaciju Komisije od 29. svibnja 2024. o evaluaciji Mehanizma Unije za civilnu zaštitu – jačanje pripravnosti EU-a za hitne situacije” (COM(2024)0212),</w:t>
      </w:r>
    </w:p>
    <w:p w:rsidR="00641661" w:rsidRPr="00A1021E" w:rsidRDefault="00641661" w:rsidP="00641661">
      <w:pPr>
        <w:pStyle w:val="NormalHanging12a"/>
      </w:pPr>
      <w:r w:rsidRPr="00A1021E">
        <w:t>−</w:t>
      </w:r>
      <w:r w:rsidRPr="00A1021E">
        <w:tab/>
        <w:t>uzimajući u obzir izjavu Komisije od 18. rujna 2024. o razornim poplavama u srednjoj i istočnoj Europi, gubitku života i pripravnosti EU-a za djelovanje u slučaju takvih katastrofa pogoršanih klimatskim promjenama,</w:t>
      </w:r>
    </w:p>
    <w:p w:rsidR="00641661" w:rsidRPr="00A1021E" w:rsidRDefault="00641661" w:rsidP="00641661">
      <w:pPr>
        <w:pStyle w:val="NormalHanging12a"/>
      </w:pPr>
      <w:r w:rsidRPr="00A1021E">
        <w:t>–</w:t>
      </w:r>
      <w:r w:rsidRPr="00A1021E">
        <w:tab/>
        <w:t>uzimajući u obzir članak 136. stavke 2. i 4. Poslovnika,</w:t>
      </w:r>
    </w:p>
    <w:p w:rsidR="00641661" w:rsidRPr="00A1021E" w:rsidRDefault="00641661" w:rsidP="00641661">
      <w:pPr>
        <w:pStyle w:val="NormalHanging12a"/>
      </w:pPr>
      <w:r w:rsidRPr="00A1021E">
        <w:t>A.</w:t>
      </w:r>
      <w:r w:rsidRPr="00A1021E">
        <w:tab/>
        <w:t>budući da su obilne kiše i snažni vjetrovi utjecali na srednju i istočnu Europu, posebno Austriju, Češku, Njemačku, Mađarsku, Poljsku, Rumunjsku i Slovačku, što je uzrokovalo poplave koje su dovele do ljudskih žrtava i štete velikih razmjera; budući da je pogođen znatan dio teritorija tih zemalja, posebno slabije razvijene regije s lošijom infrastrukturom i poljoprivredne regije;</w:t>
      </w:r>
    </w:p>
    <w:p w:rsidR="00641661" w:rsidRPr="00A1021E" w:rsidRDefault="00641661" w:rsidP="00641661">
      <w:pPr>
        <w:pStyle w:val="NormalHanging12a"/>
      </w:pPr>
      <w:r w:rsidRPr="00A1021E">
        <w:t>B.</w:t>
      </w:r>
      <w:r w:rsidRPr="00A1021E">
        <w:tab/>
        <w:t>budući da se pojedinačni ekstremni vremenski uvjeti ne mogu izravno pripisati određenom uzroku; budući da je, prema Međuvladinom panelu o klimatskim promjenama i europskoj procjeni klimatskih rizika (EUCRA), jasno da klimatska kriza dovodi do češćih i intenzivnijih ekstremnih vremenskih nepogoda kao što su poplave, oluje i toplinski valovi, zbog čega su padaline i oluje obilnije, toplinski valovi snažniji, a suše ekstremnije;</w:t>
      </w:r>
    </w:p>
    <w:p w:rsidR="00641661" w:rsidRPr="00A1021E" w:rsidRDefault="00641661" w:rsidP="00641661">
      <w:pPr>
        <w:pStyle w:val="NormalHanging12a"/>
      </w:pPr>
      <w:r w:rsidRPr="00A1021E">
        <w:t>C.</w:t>
      </w:r>
      <w:r w:rsidRPr="00A1021E">
        <w:tab/>
        <w:t>budući da se u prvoj europskoj procjeni klimatskih rizika i komunikaciji Komisije naslovljenoj „Upravljanje klimatskim rizicima – zaštita ljudi i blagostanja” ističe da je Europa kontinent koji se najbrže zagrijava te da se kao rezultat učinaka klimatskih promjena diljem Europe sve češće pojavljuju opasne vremenske pojave kao što su požari, suše i poplave; budući da je prosječna temperatura na europskom tlu u ljeto 2024. bila najviša temperatura koja je dosad zabilježena te je iznosila 1,54 °C više od prosječne temperature u razdoblju 1991.  – 2020., što je više od rekorda iz 2022.</w:t>
      </w:r>
      <w:r w:rsidRPr="00A1021E">
        <w:rPr>
          <w:rStyle w:val="FootnoteReference"/>
          <w:color w:val="000000"/>
          <w:szCs w:val="24"/>
        </w:rPr>
        <w:footnoteReference w:id="4"/>
      </w:r>
      <w:r w:rsidRPr="00A1021E">
        <w:t xml:space="preserve">; budući da je to označilo razdoblje od 14 mjeseci tijekom kojeg je prosječna globalna </w:t>
      </w:r>
      <w:r w:rsidRPr="00A1021E">
        <w:lastRenderedPageBreak/>
        <w:t>površinska temperatura zraka premašila predindustrijske razine za 1,5 °C;</w:t>
      </w:r>
    </w:p>
    <w:p w:rsidR="00641661" w:rsidRPr="00A1021E" w:rsidRDefault="00641661" w:rsidP="00641661">
      <w:pPr>
        <w:pStyle w:val="NormalHanging12a"/>
      </w:pPr>
      <w:r w:rsidRPr="00A1021E">
        <w:t>D.</w:t>
      </w:r>
      <w:r w:rsidRPr="00A1021E">
        <w:tab/>
        <w:t>budući da su samo u posljednjih 30 godina poplave diljem Europe pogodile 5,5 milijuna, a usmrtile gotovo 3 000 osoba, te prouzročile više od 170 milijardi EUR gospodarske štete; budući da klimatske promjene znatno povećavaju rizik od poplava diljem Europe</w:t>
      </w:r>
      <w:r w:rsidRPr="00A1021E">
        <w:rPr>
          <w:rStyle w:val="FootnoteReference"/>
          <w:color w:val="000000"/>
          <w:szCs w:val="24"/>
        </w:rPr>
        <w:footnoteReference w:id="5"/>
      </w:r>
      <w:r w:rsidRPr="00A1021E">
        <w:t>;</w:t>
      </w:r>
    </w:p>
    <w:p w:rsidR="00641661" w:rsidRPr="00A1021E" w:rsidRDefault="00641661" w:rsidP="00641661">
      <w:pPr>
        <w:pStyle w:val="NormalHanging12a"/>
      </w:pPr>
      <w:r w:rsidRPr="00A1021E">
        <w:t>E.</w:t>
      </w:r>
      <w:r w:rsidRPr="00A1021E">
        <w:tab/>
        <w:t>budući da je u nekim dijelovima pogođenih regija srednje i istočne Europe u samo četiri dana palo tri četvrtine prosječnih godišnjih oborina; budući da su se zahvaljujući učinkovitoj i koordiniranoj suradnji među službama za spašavanje te brzoj prekograničnoj razmjeni resursa i stručnog znanja spasili životi te se spriječila još veća šteta; budući da su koordinacija na razini EU-a, udruživanje resursa i razmjena najboljih praksi ključni za uspješnu pomoć u slučaju katastrofa;</w:t>
      </w:r>
    </w:p>
    <w:p w:rsidR="00641661" w:rsidRPr="00A1021E" w:rsidRDefault="00641661" w:rsidP="00641661">
      <w:pPr>
        <w:pStyle w:val="NormalHanging12a"/>
      </w:pPr>
      <w:r w:rsidRPr="00A1021E">
        <w:t>F.</w:t>
      </w:r>
      <w:r w:rsidRPr="00A1021E">
        <w:tab/>
        <w:t xml:space="preserve">budući da je nekoliko država članica tijekom poplava u rujnu 2024. aktiviralo usluge brzog satelitskog </w:t>
      </w:r>
      <w:proofErr w:type="spellStart"/>
      <w:r w:rsidRPr="00A1021E">
        <w:t>mapiranja</w:t>
      </w:r>
      <w:proofErr w:type="spellEnd"/>
      <w:r w:rsidRPr="00A1021E">
        <w:t xml:space="preserve"> programa </w:t>
      </w:r>
      <w:proofErr w:type="spellStart"/>
      <w:r w:rsidRPr="00A1021E">
        <w:t>Copernicus</w:t>
      </w:r>
      <w:proofErr w:type="spellEnd"/>
      <w:r w:rsidRPr="00A1021E">
        <w:t xml:space="preserve"> (Njemačka, Poljska, Slovačka, Rumunjska i Mađarska);</w:t>
      </w:r>
    </w:p>
    <w:p w:rsidR="00641661" w:rsidRPr="00A1021E" w:rsidRDefault="00641661" w:rsidP="00641661">
      <w:pPr>
        <w:pStyle w:val="NormalHanging12a"/>
      </w:pPr>
      <w:r w:rsidRPr="00A1021E">
        <w:t>G.</w:t>
      </w:r>
      <w:r w:rsidRPr="00A1021E">
        <w:tab/>
        <w:t>budući da se u komunikaciji Komisije iz 2024. u kojoj se ocjenjuje Mehanizam EU-a za civilnu zaštitu (UCPM) utvrđuju potrebe i izazovi s kojima se suočava civilna zaštita u Europi te se daju preporuke za poboljšanje učinkovitosti Mehanizma EU-a za civilnu zaštitu; budući da se u njoj također naglašavaju sve složeniji i raznolikiji izazovi i prijetnje s kojima se EU suočava, među kojima je sve veći broj sukoba, katastrofa izazvanih ljudskim djelovanjem i prirodnih katastrofa, kao što su ekstremne vremenske nepogode, i promjenjivi sigurnosni rizici, te se pokazuje kako ti događaji znatno opterećuju okvir EU-a za upravljanje rizicima od katastrofa i operativnu učinkovitost Mehanizma Unije za civilnu zaštitu;</w:t>
      </w:r>
    </w:p>
    <w:p w:rsidR="00641661" w:rsidRPr="00A1021E" w:rsidRDefault="00641661" w:rsidP="00641661">
      <w:pPr>
        <w:pStyle w:val="NormalHanging12a"/>
      </w:pPr>
      <w:r w:rsidRPr="00A1021E">
        <w:t>H.</w:t>
      </w:r>
      <w:r w:rsidRPr="00A1021E">
        <w:tab/>
        <w:t>budući da je Fond solidarnosti Europske unije (FSEU) osnovan nakon „milenijskih poplava” koje su 1997. i 2002. pogodile tu regiju; budući da je, čak i uz reviziju višegodišnjeg financijskog okvira (VFO), proračun FSEU-a i dalje nedovoljan za pružanje odgovarajućeg odgovora na velike prirodne katastrofe i izražavanje europske solidarnosti s regijama pogođenima katastrofama;</w:t>
      </w:r>
    </w:p>
    <w:p w:rsidR="00641661" w:rsidRPr="00A1021E" w:rsidRDefault="00641661" w:rsidP="00641661">
      <w:pPr>
        <w:pStyle w:val="NormalHanging12a"/>
      </w:pPr>
      <w:r w:rsidRPr="00A1021E">
        <w:t>I.</w:t>
      </w:r>
      <w:r w:rsidRPr="00A1021E">
        <w:tab/>
        <w:t>budući da prirodne katastrofe dugoročno negativno utječu na gospodarsku, socijalnu i teritorijalnu koheziju u različitim područjima, regijama i državama članicama EU-a;</w:t>
      </w:r>
    </w:p>
    <w:p w:rsidR="00641661" w:rsidRPr="00A1021E" w:rsidRDefault="00641661" w:rsidP="00641661">
      <w:pPr>
        <w:pStyle w:val="NormalHanging12a"/>
      </w:pPr>
      <w:r w:rsidRPr="00A1021E">
        <w:t>J.</w:t>
      </w:r>
      <w:r w:rsidRPr="00A1021E">
        <w:tab/>
        <w:t>budući da bi kohezijska politika, zahvaljujući svojem regionalnom fokusu, lokalnom pristupu, strateškom planiranju i učinkovitom provedbenom modelu trebala imati ključnu ulogu u sprečavanju katastrofa, oporavku od simetričnih i asimetričnih šokova te borbi protiv klimatskih promjena;</w:t>
      </w:r>
      <w:r w:rsidR="00103BEC">
        <w:t xml:space="preserve"> </w:t>
      </w:r>
      <w:r w:rsidR="00103BEC" w:rsidRPr="0047798E">
        <w:t xml:space="preserve">budući da je </w:t>
      </w:r>
      <w:r w:rsidR="00103BEC" w:rsidRPr="0047798E">
        <w:rPr>
          <w:shd w:val="clear" w:color="auto" w:fill="FFFFFF"/>
        </w:rPr>
        <w:t>za učinkovito odgovaranje na te izazove od presudne važnosti da se u budućem VFO-u prepozna ključna uloga kohezijske politike i osigura odgovarajući proračun;</w:t>
      </w:r>
    </w:p>
    <w:p w:rsidR="00641661" w:rsidRPr="00A1021E" w:rsidRDefault="00641661" w:rsidP="00641661">
      <w:pPr>
        <w:pStyle w:val="NormalHanging12a"/>
      </w:pPr>
      <w:r w:rsidRPr="00A1021E">
        <w:t>K.</w:t>
      </w:r>
      <w:r w:rsidRPr="00A1021E">
        <w:tab/>
        <w:t>budući da su prirodna rješenja ključna za sprečavanje katastrofa uzrokovanih klimatskim promjenama; budući da poplavna područja i zdrave šume, tla i močvare, močvarna područja i tresetišta te prirodna zelena područja u gradu i ruralnim područjima služe kao zaštita od utjecaja klimatskih utjecaja jer zadržavaju vodu i ublažavaju učinak poplava i suša;</w:t>
      </w:r>
    </w:p>
    <w:p w:rsidR="00641661" w:rsidRPr="00A1021E" w:rsidRDefault="00641661" w:rsidP="00641661">
      <w:pPr>
        <w:pStyle w:val="NormalHanging12a"/>
      </w:pPr>
      <w:r w:rsidRPr="00A1021E">
        <w:lastRenderedPageBreak/>
        <w:t>L.</w:t>
      </w:r>
      <w:r w:rsidRPr="00A1021E">
        <w:tab/>
        <w:t>budući da istraživanje i uklanjanje rizika od poplava zahtijeva holistički pristup te uzimanje u obzir različitih čimbenika, uključujući industriju, prijevoz, prakse preuzimanja rizika u osiguranju, planiranje korištenja zemljišta i povijesnu distribuciju poplavnih područja, demografske promjene, financijsku odgovornost i druge relevantne aspekte; budući da je Europska agencija za okoliš istaknula da su ranjive skupine i regije teže pogođene poplavama i drugim ekstremnim vremenskim uvjetima;</w:t>
      </w:r>
    </w:p>
    <w:p w:rsidR="00641661" w:rsidRPr="00A1021E" w:rsidRDefault="00641661" w:rsidP="00641661">
      <w:pPr>
        <w:pStyle w:val="NormalHanging12a"/>
        <w:rPr>
          <w:b/>
          <w:bCs/>
          <w:i/>
          <w:szCs w:val="24"/>
        </w:rPr>
      </w:pPr>
      <w:r w:rsidRPr="00A1021E">
        <w:rPr>
          <w:b/>
          <w:i/>
        </w:rPr>
        <w:t>Opće odredbe</w:t>
      </w:r>
    </w:p>
    <w:p w:rsidR="00641661" w:rsidRPr="00A1021E" w:rsidRDefault="00641661" w:rsidP="00641661">
      <w:pPr>
        <w:pStyle w:val="NormalHanging12a"/>
      </w:pPr>
      <w:r w:rsidRPr="00A1021E">
        <w:t>1.</w:t>
      </w:r>
      <w:r w:rsidRPr="00A1021E">
        <w:tab/>
        <w:t>izražava duboko suosjećanje i solidarnost sa žrtvama, njihovim obiteljima te osobama i zajednicama pogođenima aktualnim ekstremnim vremenskim nepogodama i velikim poplavama u srednjoj i istočnoj Europi, uključujući Austriju, Češku, Njemačku, Mađarsku, Poljsku, Rumunjsku i Slovačku;</w:t>
      </w:r>
    </w:p>
    <w:p w:rsidR="00641661" w:rsidRPr="00A1021E" w:rsidRDefault="00641661" w:rsidP="00641661">
      <w:pPr>
        <w:pStyle w:val="NormalHanging12a"/>
      </w:pPr>
      <w:r w:rsidRPr="00A1021E">
        <w:t>2.</w:t>
      </w:r>
      <w:r w:rsidRPr="00A1021E">
        <w:tab/>
        <w:t>pohvaljuje neumorne napore i predanost profesionalnih i volonterskih vatrogasnih službi, organizacija za spašavanje te volontera i vojske u zemljama pogođenim poplavama i drugim prirodnim katastrofama diljem Europe te nacionalnih, regionalnih i lokalnih vlasti i građana, koji su riskirali živote kako bi spasili druge te zaštitili domove i infrastrukturu; naglašava da su hitne službe imale ključnu ulogu u spašavanju života, evakuaciji ugroženih područja i zaštiti imovine u često teškim uvjetima te da su njihovi neumorni napori i spremnost na djelovanje, čak i uz rizik za vlastite živote, imali ključnu ulogu u suzbijanju katastrofe;</w:t>
      </w:r>
    </w:p>
    <w:p w:rsidR="00641661" w:rsidRPr="00A1021E" w:rsidRDefault="00641661" w:rsidP="00641661">
      <w:pPr>
        <w:pStyle w:val="NormalHanging12a"/>
      </w:pPr>
      <w:r w:rsidRPr="00A1021E">
        <w:t>3.</w:t>
      </w:r>
      <w:r w:rsidRPr="00A1021E">
        <w:tab/>
        <w:t>izražava duboku zabrinutost zbog sve većeg intenziteta i učestalosti ekstremnih vremenskih nepogoda u EU-u i globalno, što uključuje ekstremne oborine i poplave velikih razmjera, kao i toplinske valove i šumske požare, te njihove ozbiljne i izravne učinke na ljudsko zdravlje i zdravlje životinja, egzistenciju, domove, infrastrukturu i gospodarstvo, poljoprivredu, sigurnost opskrbe hranom i ekosustave; naglašava vezu između klimatskih promjena i ekstremnih vremenskih uvjeta te ističe važnost učinkovitog i dosljednog razmatranja te povezanosti jačanjem zajedničkog odgovora na razini EU-a i međunarodnoj razini s pomoću učinkovite civilne zaštite te mjera za prilagodbu klimatskim promjenama i njihovo ublažavanje kako bi se zaštitili ljudi, njihovi izvori prihoda, gospodarstvo i ekosustavi;</w:t>
      </w:r>
    </w:p>
    <w:p w:rsidR="00641661" w:rsidRPr="00A1021E" w:rsidRDefault="00641661" w:rsidP="00641661">
      <w:pPr>
        <w:pStyle w:val="NormalHanging12a"/>
      </w:pPr>
      <w:r w:rsidRPr="00A1021E">
        <w:t>4.</w:t>
      </w:r>
      <w:r w:rsidRPr="00A1021E">
        <w:tab/>
        <w:t>naglašava da su za postizanje dugoročnog cilja Pariškog sporazuma potrebni zajednički napori i daljnje djelovanje svih uključenih zemalja; potiče sve strane Okvirne konvencije UN-a o klimatskim promjenama, uključujući EU, da poduzmu daljnje korake u pogledu globalnih napora dogovorenih u odluci o globalnom pregledu stanja uz pomoć ambiciozne provedbe i povećanja nacionalno utvrđenih doprinosa u skladu s dugoročnim ciljem Pariškog sporazuma; podsjeća da EU, u skladu s Europskim zakonom o klimi, mora nastaviti ulagati napore u ublažavanje klimatskih promjena kako bi se postigao taj dugoročni cilj te u prilagodbu radi poticanja otpornosti;</w:t>
      </w:r>
    </w:p>
    <w:p w:rsidR="00641661" w:rsidRPr="00A1021E" w:rsidRDefault="00641661" w:rsidP="00641661">
      <w:pPr>
        <w:pStyle w:val="NormalHanging12a"/>
        <w:rPr>
          <w:b/>
          <w:i/>
          <w:szCs w:val="24"/>
        </w:rPr>
      </w:pPr>
      <w:r w:rsidRPr="00A1021E">
        <w:rPr>
          <w:b/>
          <w:i/>
        </w:rPr>
        <w:t>Financiranje civilne zaštite i pomoći u slučaju katastrofa</w:t>
      </w:r>
    </w:p>
    <w:p w:rsidR="00641661" w:rsidRPr="00A1021E" w:rsidRDefault="00641661" w:rsidP="00641661">
      <w:pPr>
        <w:pStyle w:val="NormalHanging12a"/>
        <w:rPr>
          <w:szCs w:val="24"/>
        </w:rPr>
      </w:pPr>
      <w:r w:rsidRPr="00A1021E">
        <w:rPr>
          <w:i/>
        </w:rPr>
        <w:t>Civilna zaštita</w:t>
      </w:r>
    </w:p>
    <w:p w:rsidR="00641661" w:rsidRPr="00A1021E" w:rsidRDefault="00641661" w:rsidP="00641661">
      <w:pPr>
        <w:pStyle w:val="NormalHanging12a"/>
      </w:pPr>
      <w:r w:rsidRPr="00A1021E">
        <w:t>5.</w:t>
      </w:r>
      <w:r w:rsidRPr="00A1021E">
        <w:tab/>
        <w:t>poziva Komisiju i države članice da budu spremne bez odgode poduprijeti svaku državu članicu koja zatraži hitnu pomoć u okviru Mehanizma Unije za civilnu zaštitu; pozdravlja namjeru ukrajinske vlade da podupre EU osobljem i opremom hitnih službi;</w:t>
      </w:r>
    </w:p>
    <w:p w:rsidR="00641661" w:rsidRPr="00A1021E" w:rsidRDefault="00641661" w:rsidP="00641661">
      <w:pPr>
        <w:pStyle w:val="NormalHanging12a"/>
      </w:pPr>
      <w:r w:rsidRPr="00A1021E">
        <w:t>6.</w:t>
      </w:r>
      <w:r w:rsidRPr="00A1021E">
        <w:tab/>
        <w:t xml:space="preserve">ističe potrebu da se Mehanizmu Unije za civilnu zaštitu osiguraju dostatna i </w:t>
      </w:r>
      <w:r w:rsidRPr="00A1021E">
        <w:lastRenderedPageBreak/>
        <w:t>nadograđena sredstva kako bi se povećala pripravnost i poboljšala izgradnja kapaciteta; stoga žali zbog proračunskih rezova u iznosu od 37 milijuna EUR u obvezama i 154,9 milijuna EUR u plaćanjima za UCPM (</w:t>
      </w:r>
      <w:proofErr w:type="spellStart"/>
      <w:r w:rsidRPr="00A1021E">
        <w:t>rescEU</w:t>
      </w:r>
      <w:proofErr w:type="spellEnd"/>
      <w:r w:rsidRPr="00A1021E">
        <w:t>); poziva na dodjelu većih sredstava za relevantne proračunske linije i u sljedećem VFO-u; poziva Komisiju da razmotri uključivanje smanjenja rizika od katastrofa i upravljanja rizikom u relevantne programe financiranja EU-a, s obzirom na to da će sva sredstva potrošena u tom području spriječiti znatne rashode za odgovor i ponovnu izgradnju;</w:t>
      </w:r>
    </w:p>
    <w:p w:rsidR="00641661" w:rsidRPr="00A1021E" w:rsidRDefault="00641661" w:rsidP="00641661">
      <w:pPr>
        <w:pStyle w:val="NormalHanging12a"/>
      </w:pPr>
      <w:r w:rsidRPr="00A1021E">
        <w:t>7.</w:t>
      </w:r>
      <w:r w:rsidRPr="00A1021E">
        <w:tab/>
        <w:t xml:space="preserve">poziva Komisiju da poduzme daljnje mjere na temelju svojih preporuka iz komunikacije od 29. svibnja 2024. i iznese konkretne prijedloge za jačanje kapaciteta za operativni odgovor UCPM-a; poziva Komisiju da u prvoj godini mandata brzo dovrši planirano preispitivanje UCPM-a, uključujući njegov Koordinacijski centar za odgovor na hitne situacije, te da predstavi konkretne mjere za daljnje jačanje i razvoj kolektivne sposobnosti EU-a da reagira na prirodne katastrofe, kao što su uspostava snaga EU-a za civilnu zaštitu za strateške rezerve hrane, vode, lijekova i medicinske opreme, podupiranje uvođenja mobilnih alata za rano upozoravanje građana, zajednička dodjela novih javnih ugovora za modernizaciju sredstava civilne zaštite i podupiranje programa usmjerenih na pružanje osposobljavanja, opreme i razmjene volonterskih službi civilne zaštite; poziva Komisiju i države članice da ubrzaju uspostavu nove stalne flote sustava </w:t>
      </w:r>
      <w:proofErr w:type="spellStart"/>
      <w:r w:rsidRPr="00A1021E">
        <w:t>rescEU</w:t>
      </w:r>
      <w:proofErr w:type="spellEnd"/>
      <w:r w:rsidRPr="00A1021E">
        <w:t xml:space="preserve"> i osiguraju da ona dobije odgovarajuća financijska sredstva;</w:t>
      </w:r>
    </w:p>
    <w:p w:rsidR="00641661" w:rsidRPr="00A1021E" w:rsidRDefault="00641661" w:rsidP="00641661">
      <w:pPr>
        <w:pStyle w:val="NormalHanging12a"/>
        <w:rPr>
          <w:szCs w:val="24"/>
        </w:rPr>
      </w:pPr>
      <w:r w:rsidRPr="00A1021E">
        <w:rPr>
          <w:i/>
        </w:rPr>
        <w:t>Financijska potpora i proračunski instrumenti</w:t>
      </w:r>
    </w:p>
    <w:p w:rsidR="00641661" w:rsidRDefault="00641661" w:rsidP="00641661">
      <w:pPr>
        <w:pStyle w:val="NormalHanging12a"/>
      </w:pPr>
      <w:r w:rsidRPr="00A1021E">
        <w:t>8.</w:t>
      </w:r>
      <w:r w:rsidRPr="00A1021E">
        <w:tab/>
        <w:t>poziva na hitnu financijsku i tehničku pomoć EU-a pogođenim zemljama;</w:t>
      </w:r>
    </w:p>
    <w:p w:rsidR="00B663CB" w:rsidRPr="00B663CB" w:rsidRDefault="00B663CB" w:rsidP="00641661">
      <w:pPr>
        <w:pStyle w:val="NormalHanging12a"/>
      </w:pPr>
      <w:r w:rsidRPr="00B663CB">
        <w:t>9</w:t>
      </w:r>
      <w:r w:rsidRPr="0047798E">
        <w:t>.</w:t>
      </w:r>
      <w:r w:rsidRPr="0047798E">
        <w:tab/>
        <w:t>hitno poziva na aktivaciju krizne pričuve ZPP-a kako bi se ublažili ozbiljni gubici koje je po</w:t>
      </w:r>
      <w:r w:rsidRPr="00B663CB">
        <w:t>ljoprivredni sektor</w:t>
      </w:r>
      <w:r w:rsidRPr="0047798E">
        <w:t xml:space="preserve"> pretrpio zbog prirodnih katastrofa;</w:t>
      </w:r>
    </w:p>
    <w:p w:rsidR="00641661" w:rsidRPr="00A1021E" w:rsidRDefault="0047798E" w:rsidP="00641661">
      <w:pPr>
        <w:pStyle w:val="NormalHanging12a"/>
      </w:pPr>
      <w:r>
        <w:t>10</w:t>
      </w:r>
      <w:r w:rsidR="00641661" w:rsidRPr="00A1021E">
        <w:t>.</w:t>
      </w:r>
      <w:r w:rsidR="00641661" w:rsidRPr="00A1021E">
        <w:tab/>
        <w:t>poziva na aktivaciju mehanizama kao što je FSEU; međutim, smatra da bi proračun FSEU-a trebao biti razmjeran sve većem broju i ozbiljnosti prirodnih katastrofa diljem Europe; potiče Komisiju da poveća proračun europske pričuve za solidarnost; potiče Komisiju da istraži sve moguće načine za ubrzavanje mobilizacije FSEU-a; stoga naglašava važnost osiguravanja odgovarajućeg financiranja FSEU-a u okviru sljedećeg VFO-a; nadalje naglašava potrebu za razumnom fleksibilnošću rokova kada se zemlje i regije primateljice suočavaju s opravdanim kašnjenjima i izazovima u podnošenju zahtjeva za dodjelu i korištenju dodijeljenih sredstava; nadalje, poziva na uspostavu linije financiranja za hitne slučajeve kako bi se ubrzao oporavak pogođenih područja, infrastrukture i sredstava za život, kao i na ulaganja u preventivne mjere za smanjenje učinaka budućih ekstremnih vremenskih uvjeta;</w:t>
      </w:r>
    </w:p>
    <w:p w:rsidR="00641661" w:rsidRPr="00A1021E" w:rsidRDefault="00641661" w:rsidP="00641661">
      <w:pPr>
        <w:pStyle w:val="NormalHanging12a"/>
        <w:rPr>
          <w:rFonts w:eastAsia="Calibri"/>
          <w:i/>
          <w:iCs/>
          <w:szCs w:val="24"/>
        </w:rPr>
      </w:pPr>
      <w:r w:rsidRPr="00A1021E">
        <w:rPr>
          <w:i/>
        </w:rPr>
        <w:t>Regionalna politika</w:t>
      </w:r>
    </w:p>
    <w:p w:rsidR="00641661" w:rsidRDefault="0047798E" w:rsidP="00641661">
      <w:pPr>
        <w:pStyle w:val="NormalHanging12a"/>
      </w:pPr>
      <w:r>
        <w:t>11</w:t>
      </w:r>
      <w:r w:rsidR="00641661" w:rsidRPr="00A1021E">
        <w:t>.</w:t>
      </w:r>
      <w:r w:rsidR="00641661" w:rsidRPr="00A1021E">
        <w:tab/>
        <w:t>poziva Komisiju da pruži tehničku i financijsku potporu regijama koje su nerazmjerno pogođene prirodnim katastrofama uzrokovanima klimatskim promjenama, među ostalim putem instrumenta kohezijske politike, te da osigura da nijedna država članica ili regija ne bude zapostavljena u naporima za poboljšanje otpornosti na klimatske promjene i pripravnosti na katastrofe; ističe da je ključno da pomoć i financijska sredstva budu dostupni u pogođenim područjima što je brže, lakše i fleksibilnije moguće;</w:t>
      </w:r>
    </w:p>
    <w:p w:rsidR="00B663CB" w:rsidRPr="00B663CB" w:rsidRDefault="0047798E" w:rsidP="00641661">
      <w:pPr>
        <w:pStyle w:val="NormalHanging12a"/>
      </w:pPr>
      <w:r>
        <w:t>12</w:t>
      </w:r>
      <w:r w:rsidR="00B663CB" w:rsidRPr="00B663CB">
        <w:t>.</w:t>
      </w:r>
      <w:r w:rsidR="00B663CB" w:rsidRPr="0047798E">
        <w:tab/>
        <w:t xml:space="preserve">napominje da bi znatno povećanje predujmova iz FSEU-a omogućilo državama članicama da učinkovitije i brže odgovore na katastrofe, posebno u slabije razvijenim </w:t>
      </w:r>
      <w:r w:rsidR="00B663CB" w:rsidRPr="0047798E">
        <w:lastRenderedPageBreak/>
        <w:t>regijama u kojima je potrebna hitna pomoć; potiče Komisiju da istraži sve moguće načine za ubrzavanje mobilizacije FSEU-a, posebno izmjenom postojećih pravila, te da razmotri dodjelu većih predujmova zemljama podnositeljicama zahtjeva za članstvo u EU-u;</w:t>
      </w:r>
    </w:p>
    <w:p w:rsidR="00641661" w:rsidRPr="00A1021E" w:rsidRDefault="0047798E" w:rsidP="00641661">
      <w:pPr>
        <w:pStyle w:val="NormalHanging12a"/>
      </w:pPr>
      <w:r>
        <w:t>13</w:t>
      </w:r>
      <w:r w:rsidR="00641661" w:rsidRPr="00A1021E">
        <w:t>.</w:t>
      </w:r>
      <w:r w:rsidR="00641661" w:rsidRPr="00A1021E">
        <w:tab/>
        <w:t xml:space="preserve">snažno podupire jačanje ulaganja EU-a povezanih s otpornošću na regionalnoj i lokalnoj razini u sljedećem VFO-u, posebno u okviru kohezijske politike; prepoznaje potrebu za tim da se fleksibilnost u kriznim situacijama uključi u kontekst regionalnog financiranja kako bi se zaštitila dodatna ulaganja u projekte koji su oštećeni ili uništeni prije nego što se u potpunosti provedu; predlaže stvaranje posebne prioritetne osi u okviru kohezijske politike za lokalne i regionalne vlasti kako bi se pristupilo rješavanju novih prioritetnih pitanja u postupku „odozdo prema gore”, pokrenutom na </w:t>
      </w:r>
      <w:proofErr w:type="spellStart"/>
      <w:r w:rsidR="00641661" w:rsidRPr="00A1021E">
        <w:t>subnacionalnoj</w:t>
      </w:r>
      <w:proofErr w:type="spellEnd"/>
      <w:r w:rsidR="00641661" w:rsidRPr="00A1021E">
        <w:t xml:space="preserve"> razini; smatra da bi ključno načelo trebalo biti pristup ulaganju prilagođen konkretnim potrebama na terenu;</w:t>
      </w:r>
    </w:p>
    <w:p w:rsidR="00641661" w:rsidRPr="00A1021E" w:rsidRDefault="0047798E" w:rsidP="00641661">
      <w:pPr>
        <w:pStyle w:val="NormalHanging12a"/>
      </w:pPr>
      <w:r>
        <w:t>14</w:t>
      </w:r>
      <w:r w:rsidR="00641661" w:rsidRPr="00A1021E">
        <w:t>.</w:t>
      </w:r>
      <w:r w:rsidR="00641661" w:rsidRPr="00A1021E">
        <w:tab/>
        <w:t>potvrđuje da bi se buduća kohezijska politika EU-a trebala dodatno usredotočiti na ublažavanje klimatskih promjena i prilagodbu tim promjenama; stoga poziva da se ulaganja u prilagodbu klimatskim promjenama te u sprečavanje katastrofa i pripravnost na njih zajamče putem namjenskog cilja politike ili namjenske prioritetne osi u okviru regionalnog razvoja i cjelokupnog okvira kohezijske politike, tematske koncentracije ili posebnih poticajnih uvjeta radi bavljenja novim prioritetima u pristupu odozdo prema gore, kako bi se osigurala održiva ulaganja u lokalnu i regionalnu infrastrukturu i upravljanje rizikom u manje razvijenim urbanim i ruralnim područjima, uključujući pogranične regije, otoke i najudaljenije regije;</w:t>
      </w:r>
    </w:p>
    <w:p w:rsidR="00641661" w:rsidRPr="00A1021E" w:rsidRDefault="0047798E" w:rsidP="00641661">
      <w:pPr>
        <w:pStyle w:val="NormalHanging12a"/>
      </w:pPr>
      <w:r>
        <w:t>15</w:t>
      </w:r>
      <w:r w:rsidR="00641661" w:rsidRPr="00A1021E">
        <w:t>.</w:t>
      </w:r>
      <w:r w:rsidR="00641661" w:rsidRPr="00A1021E">
        <w:tab/>
        <w:t>naglašava važnost osmišljavanja i održavanja prilagođenih programa i mjera EU-a za regije sklone prirodnim katastrofama; napominje da regionalno financiranje mora uključivati određenu fleksibilnost u slučaju kriza;</w:t>
      </w:r>
    </w:p>
    <w:p w:rsidR="00641661" w:rsidRPr="00A1021E" w:rsidRDefault="0047798E" w:rsidP="00641661">
      <w:pPr>
        <w:pStyle w:val="NormalHanging12a"/>
      </w:pPr>
      <w:r>
        <w:t>16</w:t>
      </w:r>
      <w:r w:rsidR="00641661" w:rsidRPr="00A1021E">
        <w:t>.</w:t>
      </w:r>
      <w:r w:rsidR="00641661" w:rsidRPr="00A1021E">
        <w:tab/>
        <w:t>smatra da bi regionalna ulaganja iz proračuna EU-a trebala ostati pod podijeljenim upravljanjem za planiranje i provedbu kako bi se moglo odgovoriti na potrebe država članica, regija te urbanih, ruralnih i udaljenih područja, te posebno kako bi se urbana i ruralna područja prilagodila novim izazovima kao što su poplave;</w:t>
      </w:r>
    </w:p>
    <w:p w:rsidR="00641661" w:rsidRPr="00A1021E" w:rsidRDefault="0047798E" w:rsidP="00641661">
      <w:pPr>
        <w:pStyle w:val="NormalHanging12a"/>
      </w:pPr>
      <w:r>
        <w:t>17</w:t>
      </w:r>
      <w:r w:rsidR="00641661" w:rsidRPr="00A1021E">
        <w:t>.</w:t>
      </w:r>
      <w:r w:rsidR="00641661" w:rsidRPr="00A1021E">
        <w:tab/>
        <w:t>naglašava da postoje razlike među državama članicama kad je riječ o nadležnostima njihovih lokalnih i regionalnih tijela; podsjeća da su lokalne i regionalne vlasti temeljni akteri u planiranju, pripremi i provedbi projekata koji bi trebali doprinijeti prilagodbi klimatskim promjenama, sprečavanju rizika i pripravnosti na terenu; poziva na poboljšani lokalizirani pristup kako bi se pripravnost i upravljanje katastrofama približilo regionalnoj i lokalnoj razini;</w:t>
      </w:r>
    </w:p>
    <w:p w:rsidR="00641661" w:rsidRPr="00A1021E" w:rsidRDefault="0047798E" w:rsidP="00641661">
      <w:pPr>
        <w:pStyle w:val="NormalHanging12a"/>
      </w:pPr>
      <w:r>
        <w:t>18</w:t>
      </w:r>
      <w:r w:rsidR="00641661" w:rsidRPr="00A1021E">
        <w:t>.</w:t>
      </w:r>
      <w:r w:rsidR="00641661" w:rsidRPr="00A1021E">
        <w:tab/>
        <w:t>ističe da je regionalna politika EU-a bila ključna za razvoj odgovarajućih kapaciteta lokalnih i regionalnih vlasti te poziva na jačanje njihove uloge; naglašava da je tehnički, financijski i administrativni kapacitet ključan kako bi se osiguralo da upravljačka tijela te lokalne i regionalne vlasti steknu tehničko znanje, posebno o klimatskim promjenama, koje mogu upotrijebiti za urbano i ruralno planiranje i upravljanje; uvjeren je da će to dovesti do boljeg projektiranja i evaluacije projektnih prijedloga, učinkovitije dodjele sredstava i zadovoljavajuće provedbe proračuna bez značajnog rizika od opoziva ulaganja EU-a</w:t>
      </w:r>
      <w:r w:rsidR="00A1021E">
        <w:t>;</w:t>
      </w:r>
    </w:p>
    <w:p w:rsidR="00641661" w:rsidRPr="00A1021E" w:rsidRDefault="0047798E" w:rsidP="00641661">
      <w:pPr>
        <w:pStyle w:val="NormalHanging12a"/>
      </w:pPr>
      <w:r>
        <w:t>19</w:t>
      </w:r>
      <w:r w:rsidR="00641661" w:rsidRPr="00A1021E">
        <w:t>.</w:t>
      </w:r>
      <w:r w:rsidR="00641661" w:rsidRPr="00A1021E">
        <w:tab/>
        <w:t xml:space="preserve">poziva na to da se postojeći programi tehničke pomoći i savjetodavni programi posebno usmjere na manje općine te na prekogranična, udaljena i ruralna područja, kao i na </w:t>
      </w:r>
      <w:r w:rsidR="00641661" w:rsidRPr="00A1021E">
        <w:lastRenderedPageBreak/>
        <w:t>najudaljenije i otočne regije, kako bi im se pomoglo suočiti s novim izazovima kao što su zelena tranzicija i klimatske promjene; u tom pogledu naglašava važnost razvoja instrumenata tehničke pomoći u suradnji između Europske investicijske banke i Komisije; poziva na ciljanu potporu u obliku 100 % financiranja EU-a za izgradnju tehničkih, financijskih i administrativnih kapaciteta, osmišljavanje i pripremu projekata, utvrđivanje i izradu portfelja projekata i kapaciteta za strateško planiranje, uključujući instrumente za planiranje;</w:t>
      </w:r>
    </w:p>
    <w:p w:rsidR="00641661" w:rsidRPr="00A1021E" w:rsidRDefault="0047798E" w:rsidP="00641661">
      <w:pPr>
        <w:pStyle w:val="NormalHanging12a"/>
      </w:pPr>
      <w:r>
        <w:t>20</w:t>
      </w:r>
      <w:r w:rsidR="00641661" w:rsidRPr="00A1021E">
        <w:t>.</w:t>
      </w:r>
      <w:r w:rsidR="00641661" w:rsidRPr="00A1021E">
        <w:tab/>
        <w:t>poziva da inicijative Komisije kao što je Sporazum gradonačelnika EU-a za klimu i energiju budu više uključene u postupak osmišljavanja i provedbe sljedeće generacije pravila kohezijske politike; uviđa da potpora politikama i provedbi, usmjerena na gradonačelnike i lokalne vlasti, donosi znatno bolje rezultate u kontekstu provedbe politika;</w:t>
      </w:r>
    </w:p>
    <w:p w:rsidR="00641661" w:rsidRPr="00A1021E" w:rsidRDefault="0047798E" w:rsidP="00641661">
      <w:pPr>
        <w:pStyle w:val="NormalHanging12a"/>
      </w:pPr>
      <w:r>
        <w:t>21</w:t>
      </w:r>
      <w:r w:rsidR="00641661" w:rsidRPr="00A1021E">
        <w:t>.</w:t>
      </w:r>
      <w:r w:rsidR="00641661" w:rsidRPr="00A1021E">
        <w:tab/>
        <w:t>potiče jačanje okvira regionalne suradnje među zemljama srednje i istočne Europe te potiče operacionalizaciju međunarodnog stručnog znanja kako bi se poduprli napori za oporavak i obnovu radi poticanja zajedničkih strategija upravljanja katastrofama, razmjene najboljih praksi i poboljšanja prekograničnog upravljanja vodama;</w:t>
      </w:r>
    </w:p>
    <w:p w:rsidR="00641661" w:rsidRPr="00A1021E" w:rsidRDefault="00641661" w:rsidP="00641661">
      <w:pPr>
        <w:pStyle w:val="NormalHanging12a"/>
        <w:rPr>
          <w:bCs/>
          <w:szCs w:val="24"/>
        </w:rPr>
      </w:pPr>
      <w:r w:rsidRPr="00A1021E">
        <w:rPr>
          <w:i/>
        </w:rPr>
        <w:t>Prilagodba klimatskim promjenama</w:t>
      </w:r>
    </w:p>
    <w:p w:rsidR="00641661" w:rsidRPr="00A1021E" w:rsidRDefault="0047798E" w:rsidP="00641661">
      <w:pPr>
        <w:pStyle w:val="NormalHanging12a"/>
      </w:pPr>
      <w:r>
        <w:t>22</w:t>
      </w:r>
      <w:r w:rsidR="00641661" w:rsidRPr="00A1021E">
        <w:t>.</w:t>
      </w:r>
      <w:r w:rsidR="00641661" w:rsidRPr="00A1021E">
        <w:tab/>
        <w:t>poziva Komisiju da brzo predstavi europski plan prilagodbe klimatskim promjenama koji je najavila u okviru političkih smjernica za sljedeću Europsku komisiju za razdoblje 2024. – 2029., uključujući konkretne zakonodavne prijedloge, kako bi se koordinirali napori za poboljšanje prilagodbe i otpornosti u skladu s ciljevima Europskog zakona o klimi i Pariškog sporazuma, kako bi se ojačala otpornost naših društava i prilagodilo učincima klimatskih promjena, osigurale redovite znanstveno utemeljene procjene rizika, mjerljivi ciljevi otpornosti te poduprle i koordinirale mjere država članica u pogledu pripravnosti, planiranja i prekogranične suradnje;</w:t>
      </w:r>
    </w:p>
    <w:p w:rsidR="00641661" w:rsidRPr="00A1021E" w:rsidRDefault="0047798E" w:rsidP="00641661">
      <w:pPr>
        <w:pStyle w:val="NormalHanging12a"/>
      </w:pPr>
      <w:r>
        <w:t>23</w:t>
      </w:r>
      <w:r w:rsidR="00641661" w:rsidRPr="00A1021E">
        <w:t>.</w:t>
      </w:r>
      <w:r w:rsidR="00641661" w:rsidRPr="00A1021E">
        <w:tab/>
        <w:t>u tom pogledu ističe potrebu za daljnjim hitnim ulaganjima u upravljanje poplavama i mjere za sprečavanje rizika, uključujući poboljšane sustave ranog upozoravanja, sustave praćenja u stvarnom vremenu, infrastrukturu za upravljanje poplavama i prirodna rješenja te dugoročna ulaganja u zelenu i plavu infrastrukturu, kao što su davanje više prostora potocima i rijekama obnovom prirodnih naplavnih ravnica i starih riječnih korita, močvarnih područja i šuma te poboljšanje zadržavanja vode obnovom funkcije spužve krajobraza; poziva na iskorištavanje svih potencijalnih sinergija između instrumenata planiranja koje razvijaju države članice, na primjer planova prirodne obnove, planova za teritorijalne jedinice tla, integriranih planova upravljanja u skladu s Direktivom o pročišćavanju komunalnih otpadnih voda</w:t>
      </w:r>
      <w:r w:rsidR="00641661" w:rsidRPr="00A1021E">
        <w:rPr>
          <w:rStyle w:val="FootnoteReference"/>
        </w:rPr>
        <w:footnoteReference w:id="6"/>
      </w:r>
      <w:r w:rsidR="00641661" w:rsidRPr="00A1021E">
        <w:t xml:space="preserve"> i upravljanja rizicima od poplava, izbjegavajući pritom lošu prilagodbu;</w:t>
      </w:r>
    </w:p>
    <w:p w:rsidR="00641661" w:rsidRPr="00A1021E" w:rsidRDefault="0047798E" w:rsidP="00641661">
      <w:pPr>
        <w:pStyle w:val="NormalHanging12a"/>
      </w:pPr>
      <w:r>
        <w:t>24</w:t>
      </w:r>
      <w:r w:rsidR="00641661" w:rsidRPr="00A1021E">
        <w:t>.</w:t>
      </w:r>
      <w:r w:rsidR="00641661" w:rsidRPr="00A1021E">
        <w:tab/>
        <w:t>u tom pogledu poziva Komisiju da smanji birokratske prepreke i ubrza postupke odobrenja za izgradnju i popravak infrastrukture za zaštitu od poplava i prirodna rješenja kako bi se hitno potrebne zaštitne mjere mogle provesti bez nepotrebnih kašnjenja; naglašava da su za to potrebni vremenski učinkovitiji postupci, jasno definirane odgovornosti i jasna usmjerenost na potrebne građevinske mjere;</w:t>
      </w:r>
    </w:p>
    <w:p w:rsidR="00641661" w:rsidRPr="00A1021E" w:rsidRDefault="0047798E" w:rsidP="00641661">
      <w:pPr>
        <w:pStyle w:val="NormalHanging12a"/>
      </w:pPr>
      <w:r>
        <w:lastRenderedPageBreak/>
        <w:t>25</w:t>
      </w:r>
      <w:r w:rsidR="00641661" w:rsidRPr="00A1021E">
        <w:t>.</w:t>
      </w:r>
      <w:r w:rsidR="00641661" w:rsidRPr="00A1021E">
        <w:tab/>
        <w:t xml:space="preserve">ističe nekoliko primjera uspješnih mjera za sprečavanje i zaštitu od poplava, često uz potporu iz fondova EU-a, koje su nekim regijama i zajednicama pomogle da se zaštite od najgorih učinaka tekućih poplava, kao što su rezervoar </w:t>
      </w:r>
      <w:proofErr w:type="spellStart"/>
      <w:r w:rsidR="00641661" w:rsidRPr="00A1021E">
        <w:t>Racibórz</w:t>
      </w:r>
      <w:proofErr w:type="spellEnd"/>
      <w:r w:rsidR="00641661" w:rsidRPr="00A1021E">
        <w:t xml:space="preserve"> </w:t>
      </w:r>
      <w:proofErr w:type="spellStart"/>
      <w:r w:rsidR="00641661" w:rsidRPr="00A1021E">
        <w:t>Dolny</w:t>
      </w:r>
      <w:proofErr w:type="spellEnd"/>
      <w:r w:rsidR="00641661" w:rsidRPr="00A1021E">
        <w:t xml:space="preserve"> i okolni suhi </w:t>
      </w:r>
      <w:proofErr w:type="spellStart"/>
      <w:r w:rsidR="00641661" w:rsidRPr="00A1021E">
        <w:t>polderi</w:t>
      </w:r>
      <w:proofErr w:type="spellEnd"/>
      <w:r w:rsidR="00641661" w:rsidRPr="00A1021E">
        <w:t xml:space="preserve"> u Poljskoj, koji su imali ključnu ulogu u ograničavanju štete u </w:t>
      </w:r>
      <w:proofErr w:type="spellStart"/>
      <w:r w:rsidR="00641661" w:rsidRPr="00A1021E">
        <w:t>Wrocławu</w:t>
      </w:r>
      <w:proofErr w:type="spellEnd"/>
      <w:r w:rsidR="00641661" w:rsidRPr="00A1021E">
        <w:t>, kao i poplavna područja Dunava i druge preventivne mjere u Donjoj Austriji i Beču;</w:t>
      </w:r>
    </w:p>
    <w:p w:rsidR="00641661" w:rsidRPr="00A1021E" w:rsidRDefault="0047798E" w:rsidP="00641661">
      <w:pPr>
        <w:pStyle w:val="NormalHanging12a"/>
      </w:pPr>
      <w:r>
        <w:t>26</w:t>
      </w:r>
      <w:r w:rsidR="00641661" w:rsidRPr="00A1021E">
        <w:t>.</w:t>
      </w:r>
      <w:r w:rsidR="00641661" w:rsidRPr="00A1021E">
        <w:tab/>
        <w:t>traži od Komisije da ocijeni provedbu postojećeg zakonodavstva o sprečavanju poplava u EU-u i učinkovitost prethodnih projekata koje je financirao EU te da ponudi preporuke za bolju upotrebu sredstava EU-a; poziva na to države članice ažuriraju svoje akcijske planove za sprečavanje poplava kako bi definirale zone visoke opasnosti od poplava u kojima bi građevinske planove trebalo obustaviti, kako bi se poboljšalo sprečavanje rizika i poboljšala civilna zaštita;</w:t>
      </w:r>
    </w:p>
    <w:p w:rsidR="00641661" w:rsidRPr="00A1021E" w:rsidRDefault="0047798E" w:rsidP="00641661">
      <w:pPr>
        <w:pStyle w:val="NormalHanging12a"/>
      </w:pPr>
      <w:r>
        <w:t>27</w:t>
      </w:r>
      <w:r w:rsidR="00641661" w:rsidRPr="00A1021E">
        <w:t>.</w:t>
      </w:r>
      <w:r w:rsidR="00641661" w:rsidRPr="00A1021E">
        <w:tab/>
        <w:t>ističe da je borba protiv socioekonomske nejednakosti preduvjet za pravednu prilagodbu klimatskim promjenama; ističe da razlike u ranjivosti različitih skupina zahtijevaju ciljani pristup prilagodbi klimatskim promjenama te pripravnosti i prevenciji katastrofa;</w:t>
      </w:r>
    </w:p>
    <w:p w:rsidR="00641661" w:rsidRPr="00A1021E" w:rsidRDefault="0047798E" w:rsidP="00641661">
      <w:pPr>
        <w:pStyle w:val="NormalHanging12a"/>
        <w:rPr>
          <w:rFonts w:eastAsia="Calibri"/>
        </w:rPr>
      </w:pPr>
      <w:r>
        <w:t>28</w:t>
      </w:r>
      <w:r w:rsidR="00641661" w:rsidRPr="00A1021E">
        <w:t>.</w:t>
      </w:r>
      <w:r w:rsidR="00641661" w:rsidRPr="00A1021E">
        <w:tab/>
        <w:t>naglašava da poplave, suše, šumski požari i drugi ekstremni vremenski uvjeti stvaraju velike izazove za mnoge gospodarske sektore, posebno poljoprivredni sektor i poljoprivrednike, koji trpe daljnje gubitke i ne mogu ubrati svoje proizvode; poziva Komisiju da pronađe bolja rješenja za učinke koje te opasnosti povezane s klimom imaju na proizvodnju hrane, sigurnost opskrbe hranom i prihode poljoprivrednika;</w:t>
      </w:r>
    </w:p>
    <w:p w:rsidR="00641661" w:rsidRPr="00A1021E" w:rsidRDefault="0047798E" w:rsidP="00641661">
      <w:pPr>
        <w:pStyle w:val="NormalHanging12a"/>
      </w:pPr>
      <w:r>
        <w:t>29</w:t>
      </w:r>
      <w:r w:rsidR="00641661" w:rsidRPr="00A1021E">
        <w:t>.</w:t>
      </w:r>
      <w:r w:rsidR="00641661" w:rsidRPr="00A1021E">
        <w:tab/>
        <w:t xml:space="preserve">preporučuje upotrebu naprednih proizvoda programa </w:t>
      </w:r>
      <w:proofErr w:type="spellStart"/>
      <w:r w:rsidR="00641661" w:rsidRPr="00A1021E">
        <w:t>Copernicus</w:t>
      </w:r>
      <w:proofErr w:type="spellEnd"/>
      <w:r w:rsidR="00641661" w:rsidRPr="00A1021E">
        <w:t xml:space="preserve"> i podataka dobivenih daljinskim istraživanjem kako bi se poduprle preventivne mjere;</w:t>
      </w:r>
    </w:p>
    <w:p w:rsidR="00641661" w:rsidRPr="00A1021E" w:rsidRDefault="0047798E" w:rsidP="00A1021E">
      <w:pPr>
        <w:spacing w:after="240"/>
        <w:ind w:left="567" w:hanging="567"/>
      </w:pPr>
      <w:r>
        <w:t>30</w:t>
      </w:r>
      <w:r w:rsidR="00641661" w:rsidRPr="00A1021E">
        <w:t>.</w:t>
      </w:r>
      <w:r w:rsidR="00641661" w:rsidRPr="00A1021E">
        <w:tab/>
        <w:t>nalaže svojoj predsjednici da ovu Rezoluciju proslijedi Vijeću i Komisiji te vladama i parlamentima država članica.</w:t>
      </w:r>
    </w:p>
    <w:sectPr w:rsidR="00641661" w:rsidRPr="00A1021E" w:rsidSect="008F324E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48EC" w:rsidRPr="008F324E" w:rsidRDefault="002448EC">
      <w:r w:rsidRPr="008F324E">
        <w:separator/>
      </w:r>
    </w:p>
  </w:endnote>
  <w:endnote w:type="continuationSeparator" w:id="0">
    <w:p w:rsidR="002448EC" w:rsidRPr="008F324E" w:rsidRDefault="002448EC">
      <w:r w:rsidRPr="008F324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48EC" w:rsidRPr="008F324E" w:rsidRDefault="002448EC">
      <w:r w:rsidRPr="008F324E">
        <w:separator/>
      </w:r>
    </w:p>
  </w:footnote>
  <w:footnote w:type="continuationSeparator" w:id="0">
    <w:p w:rsidR="002448EC" w:rsidRPr="008F324E" w:rsidRDefault="002448EC">
      <w:r w:rsidRPr="008F324E">
        <w:continuationSeparator/>
      </w:r>
    </w:p>
  </w:footnote>
  <w:footnote w:id="1">
    <w:p w:rsidR="00641661" w:rsidRPr="00A1021E" w:rsidRDefault="00641661" w:rsidP="008F324E">
      <w:pPr>
        <w:pStyle w:val="FootnoteText"/>
        <w:ind w:left="567" w:hanging="567"/>
        <w:rPr>
          <w:sz w:val="24"/>
          <w:lang w:val="hr-HR"/>
        </w:rPr>
      </w:pPr>
      <w:r w:rsidRPr="008F324E">
        <w:rPr>
          <w:rStyle w:val="FootnoteReference"/>
          <w:sz w:val="24"/>
          <w:lang w:val="hr-HR"/>
        </w:rPr>
        <w:footnoteRef/>
      </w:r>
      <w:r w:rsidR="008F324E" w:rsidRPr="008F324E">
        <w:rPr>
          <w:sz w:val="24"/>
          <w:lang w:val="hr-HR"/>
        </w:rPr>
        <w:t xml:space="preserve"> </w:t>
      </w:r>
      <w:r w:rsidR="008F324E" w:rsidRPr="008F324E">
        <w:rPr>
          <w:sz w:val="24"/>
          <w:lang w:val="hr-HR"/>
        </w:rPr>
        <w:tab/>
      </w:r>
      <w:r w:rsidRPr="008F324E">
        <w:rPr>
          <w:sz w:val="24"/>
          <w:lang w:val="hr-HR"/>
        </w:rPr>
        <w:t>SL C 445, 29.10.2021., str. 156</w:t>
      </w:r>
      <w:r w:rsidRPr="00A1021E">
        <w:rPr>
          <w:sz w:val="24"/>
          <w:lang w:val="hr-HR"/>
        </w:rPr>
        <w:t>.</w:t>
      </w:r>
    </w:p>
  </w:footnote>
  <w:footnote w:id="2">
    <w:p w:rsidR="00641661" w:rsidRPr="008F324E" w:rsidRDefault="00641661" w:rsidP="008F324E">
      <w:pPr>
        <w:pStyle w:val="FootnoteText"/>
        <w:ind w:left="567" w:hanging="567"/>
        <w:rPr>
          <w:sz w:val="24"/>
          <w:lang w:val="hr-HR"/>
        </w:rPr>
      </w:pPr>
      <w:r w:rsidRPr="008F324E">
        <w:rPr>
          <w:rStyle w:val="FootnoteReference"/>
          <w:sz w:val="24"/>
          <w:lang w:val="hr-HR"/>
        </w:rPr>
        <w:footnoteRef/>
      </w:r>
      <w:r w:rsidR="008F324E" w:rsidRPr="008F324E">
        <w:rPr>
          <w:sz w:val="24"/>
          <w:lang w:val="hr-HR"/>
        </w:rPr>
        <w:t xml:space="preserve"> </w:t>
      </w:r>
      <w:r w:rsidR="008F324E" w:rsidRPr="008F324E">
        <w:rPr>
          <w:sz w:val="24"/>
          <w:lang w:val="hr-HR"/>
        </w:rPr>
        <w:tab/>
      </w:r>
      <w:r w:rsidRPr="008F324E">
        <w:rPr>
          <w:sz w:val="24"/>
          <w:lang w:val="hr-HR"/>
        </w:rPr>
        <w:t>SL C 125, 5.4.2023., str. 135.</w:t>
      </w:r>
    </w:p>
  </w:footnote>
  <w:footnote w:id="3">
    <w:p w:rsidR="00641661" w:rsidRPr="008F324E" w:rsidRDefault="00641661" w:rsidP="008F324E">
      <w:pPr>
        <w:pStyle w:val="FootnoteText"/>
        <w:ind w:left="567" w:hanging="567"/>
        <w:rPr>
          <w:sz w:val="24"/>
          <w:lang w:val="hr-HR"/>
        </w:rPr>
      </w:pPr>
      <w:r w:rsidRPr="008F324E">
        <w:rPr>
          <w:rStyle w:val="FootnoteReference"/>
          <w:sz w:val="24"/>
          <w:lang w:val="hr-HR"/>
        </w:rPr>
        <w:footnoteRef/>
      </w:r>
      <w:r w:rsidR="008F324E" w:rsidRPr="008F324E">
        <w:rPr>
          <w:sz w:val="24"/>
          <w:lang w:val="hr-HR"/>
        </w:rPr>
        <w:t xml:space="preserve"> </w:t>
      </w:r>
      <w:r w:rsidR="008F324E" w:rsidRPr="008F324E">
        <w:rPr>
          <w:sz w:val="24"/>
          <w:lang w:val="hr-HR"/>
        </w:rPr>
        <w:tab/>
      </w:r>
      <w:r w:rsidRPr="008F324E">
        <w:rPr>
          <w:sz w:val="24"/>
          <w:lang w:val="hr-HR"/>
        </w:rPr>
        <w:t>SL C, C/2024/488, 23.1.2024., ELI: https://eur-lex.europa.eu/legal-content/HR/TXT/HTML/?uri=OJ:C_202400488.</w:t>
      </w:r>
    </w:p>
  </w:footnote>
  <w:footnote w:id="4">
    <w:p w:rsidR="00641661" w:rsidRPr="008F324E" w:rsidRDefault="00641661" w:rsidP="008F324E">
      <w:pPr>
        <w:pStyle w:val="FootnoteText"/>
        <w:ind w:left="567" w:hanging="567"/>
        <w:rPr>
          <w:sz w:val="24"/>
          <w:lang w:val="hr-HR"/>
        </w:rPr>
      </w:pPr>
      <w:r w:rsidRPr="008F324E">
        <w:rPr>
          <w:rStyle w:val="FootnoteReference"/>
          <w:sz w:val="24"/>
          <w:lang w:val="hr-HR"/>
        </w:rPr>
        <w:footnoteRef/>
      </w:r>
      <w:r w:rsidR="008F324E" w:rsidRPr="008F324E">
        <w:rPr>
          <w:sz w:val="24"/>
          <w:lang w:val="hr-HR"/>
        </w:rPr>
        <w:t xml:space="preserve"> </w:t>
      </w:r>
      <w:r w:rsidR="008F324E" w:rsidRPr="008F324E">
        <w:rPr>
          <w:sz w:val="24"/>
          <w:lang w:val="hr-HR"/>
        </w:rPr>
        <w:tab/>
      </w:r>
      <w:proofErr w:type="spellStart"/>
      <w:r w:rsidRPr="008F324E">
        <w:rPr>
          <w:sz w:val="24"/>
          <w:lang w:val="hr-HR"/>
        </w:rPr>
        <w:t>Copernicus</w:t>
      </w:r>
      <w:proofErr w:type="spellEnd"/>
      <w:r w:rsidRPr="008F324E">
        <w:rPr>
          <w:sz w:val="24"/>
          <w:lang w:val="hr-HR"/>
        </w:rPr>
        <w:t xml:space="preserve">, </w:t>
      </w:r>
      <w:hyperlink w:anchor=":~:text=The%20average%20temperature%20for%20European%20land%20for%20summer%20(June%2DAugust,2022%20(1.34%C2%B0C)" w:history="1">
        <w:r w:rsidRPr="008F324E">
          <w:rPr>
            <w:rStyle w:val="Hyperlink"/>
            <w:sz w:val="24"/>
            <w:lang w:val="hr-HR"/>
          </w:rPr>
          <w:t>„</w:t>
        </w:r>
        <w:proofErr w:type="spellStart"/>
        <w:r w:rsidRPr="008F324E">
          <w:rPr>
            <w:rStyle w:val="Hyperlink"/>
            <w:sz w:val="24"/>
            <w:lang w:val="hr-HR"/>
          </w:rPr>
          <w:t>Summer</w:t>
        </w:r>
        <w:proofErr w:type="spellEnd"/>
        <w:r w:rsidRPr="008F324E">
          <w:rPr>
            <w:rStyle w:val="Hyperlink"/>
            <w:sz w:val="24"/>
            <w:lang w:val="hr-HR"/>
          </w:rPr>
          <w:t xml:space="preserve"> 2024 – </w:t>
        </w:r>
        <w:proofErr w:type="spellStart"/>
        <w:r w:rsidRPr="008F324E">
          <w:rPr>
            <w:rStyle w:val="Hyperlink"/>
            <w:sz w:val="24"/>
            <w:lang w:val="hr-HR"/>
          </w:rPr>
          <w:t>Hottest</w:t>
        </w:r>
        <w:proofErr w:type="spellEnd"/>
        <w:r w:rsidRPr="008F324E">
          <w:rPr>
            <w:rStyle w:val="Hyperlink"/>
            <w:sz w:val="24"/>
            <w:lang w:val="hr-HR"/>
          </w:rPr>
          <w:t xml:space="preserve"> on </w:t>
        </w:r>
        <w:proofErr w:type="spellStart"/>
        <w:r w:rsidRPr="008F324E">
          <w:rPr>
            <w:rStyle w:val="Hyperlink"/>
            <w:sz w:val="24"/>
            <w:lang w:val="hr-HR"/>
          </w:rPr>
          <w:t>record</w:t>
        </w:r>
        <w:proofErr w:type="spellEnd"/>
        <w:r w:rsidRPr="008F324E">
          <w:rPr>
            <w:rStyle w:val="Hyperlink"/>
            <w:sz w:val="24"/>
            <w:lang w:val="hr-HR"/>
          </w:rPr>
          <w:t xml:space="preserve"> </w:t>
        </w:r>
        <w:proofErr w:type="spellStart"/>
        <w:r w:rsidRPr="008F324E">
          <w:rPr>
            <w:rStyle w:val="Hyperlink"/>
            <w:sz w:val="24"/>
            <w:lang w:val="hr-HR"/>
          </w:rPr>
          <w:t>globally</w:t>
        </w:r>
        <w:proofErr w:type="spellEnd"/>
        <w:r w:rsidRPr="008F324E">
          <w:rPr>
            <w:rStyle w:val="Hyperlink"/>
            <w:sz w:val="24"/>
            <w:lang w:val="hr-HR"/>
          </w:rPr>
          <w:t xml:space="preserve"> </w:t>
        </w:r>
        <w:proofErr w:type="spellStart"/>
        <w:r w:rsidRPr="008F324E">
          <w:rPr>
            <w:rStyle w:val="Hyperlink"/>
            <w:sz w:val="24"/>
            <w:lang w:val="hr-HR"/>
          </w:rPr>
          <w:t>and</w:t>
        </w:r>
        <w:proofErr w:type="spellEnd"/>
        <w:r w:rsidRPr="008F324E">
          <w:rPr>
            <w:rStyle w:val="Hyperlink"/>
            <w:sz w:val="24"/>
            <w:lang w:val="hr-HR"/>
          </w:rPr>
          <w:t xml:space="preserve"> for Europe” (Ljeto 2024. – najtoplije ljeto zabilježeno na globalnoj i europskoj razini)</w:t>
        </w:r>
      </w:hyperlink>
      <w:r w:rsidRPr="008F324E">
        <w:rPr>
          <w:sz w:val="24"/>
          <w:lang w:val="hr-HR"/>
        </w:rPr>
        <w:t xml:space="preserve">. </w:t>
      </w:r>
    </w:p>
  </w:footnote>
  <w:footnote w:id="5">
    <w:p w:rsidR="00641661" w:rsidRPr="008F324E" w:rsidRDefault="00641661" w:rsidP="008F324E">
      <w:pPr>
        <w:pStyle w:val="FootnoteText"/>
        <w:ind w:left="567" w:hanging="567"/>
        <w:rPr>
          <w:sz w:val="24"/>
          <w:lang w:val="hr-HR"/>
        </w:rPr>
      </w:pPr>
      <w:r w:rsidRPr="008F324E">
        <w:rPr>
          <w:rStyle w:val="FootnoteReference"/>
          <w:sz w:val="24"/>
          <w:lang w:val="hr-HR"/>
        </w:rPr>
        <w:footnoteRef/>
      </w:r>
      <w:r w:rsidR="008F324E" w:rsidRPr="008F324E">
        <w:rPr>
          <w:sz w:val="24"/>
          <w:lang w:val="hr-HR"/>
        </w:rPr>
        <w:t xml:space="preserve"> </w:t>
      </w:r>
      <w:r w:rsidR="008F324E" w:rsidRPr="008F324E">
        <w:rPr>
          <w:sz w:val="24"/>
          <w:lang w:val="hr-HR"/>
        </w:rPr>
        <w:tab/>
      </w:r>
      <w:r w:rsidRPr="008F324E">
        <w:rPr>
          <w:sz w:val="24"/>
          <w:lang w:val="hr-HR"/>
        </w:rPr>
        <w:t>Europska procjena klimatskih rizika.</w:t>
      </w:r>
    </w:p>
  </w:footnote>
  <w:footnote w:id="6">
    <w:p w:rsidR="00641661" w:rsidRPr="008F324E" w:rsidRDefault="00641661" w:rsidP="008F324E">
      <w:pPr>
        <w:pStyle w:val="FootnoteText"/>
        <w:ind w:left="567" w:hanging="567"/>
        <w:rPr>
          <w:sz w:val="24"/>
          <w:lang w:val="hr-HR"/>
        </w:rPr>
      </w:pPr>
      <w:r w:rsidRPr="008F324E">
        <w:rPr>
          <w:rStyle w:val="FootnoteReference"/>
          <w:sz w:val="24"/>
          <w:lang w:val="hr-HR"/>
        </w:rPr>
        <w:footnoteRef/>
      </w:r>
      <w:r w:rsidR="008F324E" w:rsidRPr="008F324E">
        <w:rPr>
          <w:sz w:val="24"/>
          <w:lang w:val="hr-HR"/>
        </w:rPr>
        <w:t xml:space="preserve"> </w:t>
      </w:r>
      <w:r w:rsidR="008F324E" w:rsidRPr="008F324E">
        <w:rPr>
          <w:sz w:val="24"/>
          <w:lang w:val="hr-HR"/>
        </w:rPr>
        <w:tab/>
      </w:r>
      <w:r w:rsidRPr="008F324E">
        <w:rPr>
          <w:sz w:val="24"/>
          <w:lang w:val="hr-HR"/>
        </w:rPr>
        <w:t>SL L 135, 30.5.1991., str. 40., ELI: https://eur-lex.europa.eu/eli/dir/1991/271/oj?eliuri=eli%3Adir%3A1991%3A271%3Aoj&amp;locale=hr.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57/2024"/>
    <w:docVar w:name="dvlangue" w:val="HR"/>
    <w:docVar w:name="dvnumam" w:val="0"/>
    <w:docVar w:name="dvpe" w:val="764.075"/>
    <w:docVar w:name="dvtitre" w:val="Rezolucija Europskog parlamenta od .... 2024. o razornim poplavama u srednjoj i istočnoj Europi, gubitku života i pripravnosti EU-a za djelovanje u slučaju takvih katastrofa pogoršanih klimatskim promjenama(2024/2817(RSP))"/>
  </w:docVars>
  <w:rsids>
    <w:rsidRoot w:val="002448EC"/>
    <w:rsid w:val="00002272"/>
    <w:rsid w:val="00064002"/>
    <w:rsid w:val="000677B9"/>
    <w:rsid w:val="000831BA"/>
    <w:rsid w:val="000A42CC"/>
    <w:rsid w:val="000E7DD9"/>
    <w:rsid w:val="0010095E"/>
    <w:rsid w:val="00103BEC"/>
    <w:rsid w:val="00125B37"/>
    <w:rsid w:val="00187494"/>
    <w:rsid w:val="001F32AE"/>
    <w:rsid w:val="002448EC"/>
    <w:rsid w:val="00256856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798E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166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324E"/>
    <w:rsid w:val="00930C23"/>
    <w:rsid w:val="0093193B"/>
    <w:rsid w:val="009509D8"/>
    <w:rsid w:val="00950B64"/>
    <w:rsid w:val="00961693"/>
    <w:rsid w:val="00981893"/>
    <w:rsid w:val="00A1021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63CB"/>
    <w:rsid w:val="00BD48FE"/>
    <w:rsid w:val="00BD7BD8"/>
    <w:rsid w:val="00BE6ADC"/>
    <w:rsid w:val="00C05BFE"/>
    <w:rsid w:val="00C23B00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CC5E0B"/>
  <w15:chartTrackingRefBased/>
  <w15:docId w15:val="{C4329561-7EF9-447C-8130-3D780EEDF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641661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641661"/>
    <w:pPr>
      <w:spacing w:before="480" w:after="240"/>
    </w:pPr>
  </w:style>
  <w:style w:type="character" w:styleId="Hyperlink">
    <w:name w:val="Hyperlink"/>
    <w:basedOn w:val="DefaultParagraphFont"/>
    <w:unhideWhenUsed/>
    <w:rsid w:val="00641661"/>
    <w:rPr>
      <w:color w:val="0563C1" w:themeColor="hyperlink"/>
      <w:u w:val="single"/>
    </w:rPr>
  </w:style>
  <w:style w:type="character" w:customStyle="1" w:styleId="EPCommaChar">
    <w:name w:val="EPComma Char"/>
    <w:basedOn w:val="DefaultParagraphFont"/>
    <w:link w:val="EPComma"/>
    <w:rsid w:val="00641661"/>
    <w:rPr>
      <w:sz w:val="24"/>
      <w:lang w:val="hr-HR"/>
    </w:rPr>
  </w:style>
  <w:style w:type="paragraph" w:styleId="BalloonText">
    <w:name w:val="Balloon Text"/>
    <w:basedOn w:val="Normal"/>
    <w:link w:val="BalloonTextChar"/>
    <w:rsid w:val="00B663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663CB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A10247-52FC-4690-86AF-3F2485D00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3172</Words>
  <Characters>19545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BULJAN Jakov</cp:lastModifiedBy>
  <cp:revision>2</cp:revision>
  <cp:lastPrinted>2004-11-19T15:42:00Z</cp:lastPrinted>
  <dcterms:created xsi:type="dcterms:W3CDTF">2024-10-17T11:24:00Z</dcterms:created>
  <dcterms:modified xsi:type="dcterms:W3CDTF">2024-10-17T11:24:00Z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B10-0057/2024</vt:lpwstr>
  </property>
  <property fmtid="{D5CDD505-2E9C-101B-9397-08002B2CF9AE}" pid="4" name="&lt;Type&gt;">
    <vt:lpwstr>RR</vt:lpwstr>
  </property>
</Properties>
</file>