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2A4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B2A45" w:rsidRDefault="00951DD0" w:rsidP="0010095E">
            <w:pPr>
              <w:pStyle w:val="EPName"/>
            </w:pPr>
            <w:r w:rsidRPr="00EB2A45">
              <w:t>Parlamento europeo</w:t>
            </w:r>
          </w:p>
          <w:p w:rsidR="00751A4A" w:rsidRPr="00EB2A4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2A45">
              <w:t>2024</w:t>
            </w:r>
            <w:r w:rsidR="00817416" w:rsidRPr="00EB2A45">
              <w:t>-202</w:t>
            </w:r>
            <w:r w:rsidRPr="00EB2A4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B2A45" w:rsidRDefault="00187494" w:rsidP="0010095E">
            <w:pPr>
              <w:pStyle w:val="EPLogo"/>
            </w:pPr>
            <w:r w:rsidRPr="00EB2A45">
              <w:rPr>
                <w:noProof/>
                <w:lang w:eastAsia="it-IT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B2A45" w:rsidRDefault="00D058B8" w:rsidP="004C5D52">
      <w:pPr>
        <w:pStyle w:val="LineTop"/>
      </w:pPr>
    </w:p>
    <w:p w:rsidR="00680577" w:rsidRPr="00EB2A45" w:rsidRDefault="00951DD0" w:rsidP="00680577">
      <w:pPr>
        <w:pStyle w:val="EPBodyTA1"/>
      </w:pPr>
      <w:r w:rsidRPr="00EB2A45">
        <w:t>TESTI APPROVATI</w:t>
      </w:r>
    </w:p>
    <w:p w:rsidR="00D058B8" w:rsidRPr="00EB2A45" w:rsidRDefault="00D058B8" w:rsidP="00D058B8">
      <w:pPr>
        <w:pStyle w:val="LineBottom"/>
      </w:pPr>
    </w:p>
    <w:p w:rsidR="00951DD0" w:rsidRPr="00EB2A45" w:rsidRDefault="00951DD0" w:rsidP="00951DD0">
      <w:pPr>
        <w:pStyle w:val="ATHeading1"/>
      </w:pPr>
      <w:bookmarkStart w:id="0" w:name="TANumber"/>
      <w:r w:rsidRPr="00EB2A45">
        <w:t>P10_TA(2024)00</w:t>
      </w:r>
      <w:bookmarkEnd w:id="0"/>
      <w:r w:rsidR="00880226" w:rsidRPr="00EB2A45">
        <w:t>14</w:t>
      </w:r>
    </w:p>
    <w:p w:rsidR="00951DD0" w:rsidRPr="00EB2A45" w:rsidRDefault="00951DD0" w:rsidP="00951DD0">
      <w:pPr>
        <w:pStyle w:val="ATHeading2"/>
      </w:pPr>
      <w:bookmarkStart w:id="1" w:name="title"/>
      <w:r w:rsidRPr="00EB2A45">
        <w:t>Le devastanti inondazioni nell'Europa centrale e orientale, la perdita di vite umane e la preparazione dell'UE a intervenire in caso di disastri di questo tipo aggravati dal cambiamento climatico</w:t>
      </w:r>
      <w:bookmarkEnd w:id="1"/>
    </w:p>
    <w:p w:rsidR="00951DD0" w:rsidRPr="00EB2A45" w:rsidRDefault="00951DD0" w:rsidP="00951DD0">
      <w:pPr>
        <w:rPr>
          <w:i/>
          <w:vanish/>
        </w:rPr>
      </w:pPr>
      <w:r w:rsidRPr="00EB2A45">
        <w:rPr>
          <w:i/>
        </w:rPr>
        <w:fldChar w:fldCharType="begin"/>
      </w:r>
      <w:r w:rsidRPr="00EB2A45">
        <w:rPr>
          <w:i/>
        </w:rPr>
        <w:instrText xml:space="preserve"> TC"(</w:instrText>
      </w:r>
      <w:bookmarkStart w:id="2" w:name="DocNumber"/>
      <w:r w:rsidRPr="00EB2A45">
        <w:rPr>
          <w:i/>
        </w:rPr>
        <w:instrText>B10-0057</w:instrText>
      </w:r>
      <w:r w:rsidR="00C3765B" w:rsidRPr="00EB2A45">
        <w:rPr>
          <w:i/>
        </w:rPr>
        <w:instrText>, 0058, 0059, 0060, 0061 e 0063</w:instrText>
      </w:r>
      <w:r w:rsidRPr="00EB2A45">
        <w:rPr>
          <w:i/>
        </w:rPr>
        <w:instrText>/2024</w:instrText>
      </w:r>
      <w:bookmarkEnd w:id="2"/>
      <w:r w:rsidRPr="00EB2A45">
        <w:rPr>
          <w:i/>
        </w:rPr>
        <w:instrText xml:space="preserve">)"\l3 \n&gt; \* MERGEFORMAT </w:instrText>
      </w:r>
      <w:r w:rsidRPr="00EB2A45">
        <w:rPr>
          <w:i/>
        </w:rPr>
        <w:fldChar w:fldCharType="end"/>
      </w:r>
    </w:p>
    <w:p w:rsidR="00951DD0" w:rsidRPr="00EB2A45" w:rsidRDefault="00951DD0" w:rsidP="00951DD0">
      <w:pPr>
        <w:rPr>
          <w:vanish/>
        </w:rPr>
      </w:pPr>
      <w:bookmarkStart w:id="3" w:name="PE"/>
      <w:r w:rsidRPr="00EB2A45">
        <w:rPr>
          <w:vanish/>
        </w:rPr>
        <w:t>PE764.075</w:t>
      </w:r>
      <w:bookmarkEnd w:id="3"/>
    </w:p>
    <w:p w:rsidR="00951DD0" w:rsidRPr="00EB2A45" w:rsidRDefault="00951DD0" w:rsidP="00951DD0">
      <w:pPr>
        <w:pStyle w:val="ATHeading3"/>
      </w:pPr>
      <w:bookmarkStart w:id="4" w:name="Sujet"/>
      <w:r w:rsidRPr="00EB2A45">
        <w:t>Risoluzione del Parlamento europeo del 19 settembre 2024 sulle devastanti inondazioni nell'Europa centrale e orientale, la perdita di vite umane e la preparazione dell'UE a intervenire in caso di disastri di questo tipo aggravati dal cambiamento climatico</w:t>
      </w:r>
      <w:bookmarkEnd w:id="4"/>
      <w:r w:rsidRPr="00EB2A45">
        <w:t xml:space="preserve"> </w:t>
      </w:r>
      <w:bookmarkStart w:id="5" w:name="References"/>
      <w:r w:rsidRPr="00EB2A45">
        <w:t>(2024/2817(RSP))</w:t>
      </w:r>
      <w:bookmarkEnd w:id="5"/>
    </w:p>
    <w:p w:rsidR="002C7253" w:rsidRPr="00EB2A45" w:rsidRDefault="002C7253" w:rsidP="002C7253">
      <w:pPr>
        <w:pStyle w:val="EPComma"/>
      </w:pPr>
      <w:bookmarkStart w:id="6" w:name="TextBodyBegin"/>
      <w:bookmarkEnd w:id="6"/>
      <w:r w:rsidRPr="00EB2A45">
        <w:rPr>
          <w:i/>
          <w:iCs/>
        </w:rPr>
        <w:t>Il Parlamento europeo,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>vista la convenzione quadro delle Nazioni Unite sui cambiamenti climatici, in particolare il relativo accordo di Parigi sui cambiamenti climatici del 2015, entrato in vigore il 4 novembre 2016,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>vista la convenzione delle Nazioni Unite sulla diversità biologica,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>visti gli obiettivi di sviluppo sostenibile delle Nazioni Unite,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>visto il controllo dell'adeguatezza 2019, effettuato dalla Commissione, della direttiva quadro sulle acque, della direttiva sulle acque sotterranee, della direttiva sugli standard di qualità ambientale e della direttiva sulle alluvioni (SWD(2019)0439),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>vista la comunicazione della Commissione del 24 febbraio 2021 dal titolo "Plasmare un'Europa resiliente ai cambiamenti climatici – La nuova strategia dell'UE di adattamento ai cambiamenti climatici" (COM(2021)0082),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>vista la sua risoluzione del 17 dicembre 2020 sulla strategia dell'UE di adattamento ai cambiamenti climatici</w:t>
      </w:r>
      <w:r w:rsidRPr="00EB2A45">
        <w:rPr>
          <w:rStyle w:val="FootnoteReference"/>
        </w:rPr>
        <w:footnoteReference w:id="1"/>
      </w:r>
      <w:r w:rsidRPr="00EB2A45">
        <w:t>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>visti gli orientamenti della Commissione in materia di strategie e piani di adattamento degli Stati membri del 26 luglio 2023,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 xml:space="preserve">vista la sua risoluzione del 15 settembre 2022 sulle conseguenze della siccità, degli incendi e di altri fenomeni meteorologici estremi: intensificare l'impegno dell'UE per </w:t>
      </w:r>
      <w:r w:rsidRPr="00EB2A45">
        <w:lastRenderedPageBreak/>
        <w:t>contrastare il cambiamento climatico</w:t>
      </w:r>
      <w:r w:rsidRPr="00EB2A45">
        <w:rPr>
          <w:rStyle w:val="FootnoteReference"/>
        </w:rPr>
        <w:footnoteReference w:id="2"/>
      </w:r>
      <w:r w:rsidRPr="00EB2A45">
        <w:t>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>vista la sua risoluzione del 15 giugno 2023 sulla Giornata europea delle vittime della crisi climatica globale</w:t>
      </w:r>
      <w:r w:rsidRPr="00EB2A45">
        <w:rPr>
          <w:rStyle w:val="FootnoteReference"/>
        </w:rPr>
        <w:footnoteReference w:id="3"/>
      </w:r>
      <w:r w:rsidRPr="00EB2A45">
        <w:t>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>vista la relazione n. 1/2024 dell'Agenzia europea dell'ambiente (AEA), dell'11 marzo 2024, dal titolo "The European Climate Risk Assessment" (valutazione europea dei rischi climatici),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>vista la comunicazione della Commissione del 12 marzo 2024, dal titolo "Gestire i rischi climatici: proteggere le persone e la prosperità" (COM(2024)0091),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 xml:space="preserve">vista la relazione n. 3/2024 dell'AEA, del 15 maggio </w:t>
      </w:r>
      <w:bookmarkStart w:id="7" w:name="_GoBack"/>
      <w:bookmarkEnd w:id="7"/>
      <w:r w:rsidRPr="00EB2A45">
        <w:t>2024, dal titolo "Responding to climate change impacts on human health in Europe: focus on floods, droughts and water quality" (Rispondere all'impatto del cambiamento climatico sulla salute umana in Europa: attenzione alle inondazioni, alla siccità e alla qualità dell'acqua),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>vista la relazione finale relativa al dialogo sulla resilienza climatica pubblicata nel luglio 2024,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>vista la comunicazione della Commissione del 29 maggio 2024 sulla valutazione del meccanismo unionale di protezione civile – Rafforzare la preparazione dell'UE alle emergenze (COM(2024)0212),</w:t>
      </w:r>
    </w:p>
    <w:p w:rsidR="002C7253" w:rsidRPr="00EB2A45" w:rsidRDefault="002C7253" w:rsidP="002C7253">
      <w:pPr>
        <w:pStyle w:val="NormalHanging12a"/>
      </w:pPr>
      <w:r w:rsidRPr="00EB2A45">
        <w:t>−</w:t>
      </w:r>
      <w:r w:rsidRPr="00EB2A45">
        <w:tab/>
        <w:t>vista la dichiarazione della Commissione del 18 settembre 2024 sulle devastanti inondazioni nell'Europa centrale e orientale, la perdita di vite umane e la preparazione dell'UE a intervenire in caso di disastri di questo tipo aggravati dal cambiamento climatico,</w:t>
      </w:r>
    </w:p>
    <w:p w:rsidR="002C7253" w:rsidRPr="00EB2A45" w:rsidRDefault="002C7253" w:rsidP="002C7253">
      <w:pPr>
        <w:pStyle w:val="NormalHanging12a"/>
      </w:pPr>
      <w:r w:rsidRPr="00EB2A45">
        <w:t>–</w:t>
      </w:r>
      <w:r w:rsidRPr="00EB2A45">
        <w:tab/>
        <w:t>visto l'articolo 136, paragrafi 2 e 4, del suo regolamento,</w:t>
      </w:r>
    </w:p>
    <w:p w:rsidR="002C7253" w:rsidRPr="00EB2A45" w:rsidRDefault="002C7253" w:rsidP="002C7253">
      <w:pPr>
        <w:pStyle w:val="NormalHanging12a"/>
      </w:pPr>
      <w:r w:rsidRPr="00EB2A45">
        <w:t>A.</w:t>
      </w:r>
      <w:r w:rsidRPr="00EB2A45">
        <w:tab/>
        <w:t>considerando che piogge intense e forti venti hanno colpito l'Europa centrale e orientale, in particolare Austria, Cechia, Germania, Polonia, Romania, Slovacchia e Ungheria, provocando inondazioni che hanno causato vittime e ingenti danni; che è stata colpita un'ampia area del loro territorio, in particolare le regioni meno sviluppate con infrastrutture più deboli e le regioni agricole;</w:t>
      </w:r>
    </w:p>
    <w:p w:rsidR="002C7253" w:rsidRPr="00EB2A45" w:rsidRDefault="002C7253" w:rsidP="002C7253">
      <w:pPr>
        <w:pStyle w:val="NormalHanging12a"/>
      </w:pPr>
      <w:r w:rsidRPr="00EB2A45">
        <w:t>B.</w:t>
      </w:r>
      <w:r w:rsidRPr="00EB2A45">
        <w:tab/>
        <w:t>considerando che singoli eventi meteorologici estremi non si possono attribuire direttamente a una causa specifica; che, secondo il Gruppo intergovernativo di esperti sul cambiamento climatico e la valutazione europea dei rischi climatici (EUCRA), è evidente che la crisi climatica rende più frequenti e più intensi gli eventi meteorologici estremi come le inondazioni, le tempeste e le ondate di calore, rendendo le precipitazioni e le tempeste più gravi, le ondate di calore più torride e la siccità più forti;</w:t>
      </w:r>
    </w:p>
    <w:p w:rsidR="002C7253" w:rsidRPr="00EB2A45" w:rsidRDefault="002C7253" w:rsidP="002C7253">
      <w:pPr>
        <w:pStyle w:val="NormalHanging12a"/>
      </w:pPr>
      <w:r w:rsidRPr="00EB2A45">
        <w:t>C.</w:t>
      </w:r>
      <w:r w:rsidRPr="00EB2A45">
        <w:tab/>
        <w:t xml:space="preserve">considerando che la prima EUCRA e la comunicazione della Commissione dal titolo "Gestire i rischi climatici: proteggere le persone e la prosperità" sottolineano che l'Europa è il continente che si sta riscaldando più rapidamente al mondo e che fenomeni gravi come gli incendi boschivi, la siccità e le inondazioni stanno diventando sempre più frequenti in tutta l'Europa a causa degli effetti del cambiamento climatico; che la </w:t>
      </w:r>
      <w:r w:rsidRPr="00EB2A45">
        <w:lastRenderedPageBreak/>
        <w:t>temperatura media dei terreni europei nell'estate del 2024 è stata la più alta mai registrata per la stagione, con 1,54ºC al di sopra della media del 1991-2020, superando il precedente record del 2022</w:t>
      </w:r>
      <w:r w:rsidRPr="00EB2A45">
        <w:rPr>
          <w:rStyle w:val="FootnoteReference"/>
          <w:color w:val="000000"/>
          <w:szCs w:val="24"/>
        </w:rPr>
        <w:footnoteReference w:id="4"/>
      </w:r>
      <w:r w:rsidRPr="00EB2A45">
        <w:t>; che ciò ha segnato un periodo di 14 mesi durante il quale la temperatura media globale dell'aria superficiale ha superato di 1,5ºC i livelli preindustriali;</w:t>
      </w:r>
    </w:p>
    <w:p w:rsidR="002C7253" w:rsidRPr="00EB2A45" w:rsidRDefault="002C7253" w:rsidP="002C7253">
      <w:pPr>
        <w:pStyle w:val="NormalHanging12a"/>
      </w:pPr>
      <w:r w:rsidRPr="00EB2A45">
        <w:t>D.</w:t>
      </w:r>
      <w:r w:rsidRPr="00EB2A45">
        <w:tab/>
        <w:t>considerando che, solo negli ultimi trent'anni, le inondazioni in Europa hanno colpito 5,5 milioni di persone, causando la morte di quasi 3 000 persone e danni economici per oltre 170 miliardi di EUR; che il cambiamento climatico sta aumentando in modo significativo i rischi di alluvioni in tutta l'Europa</w:t>
      </w:r>
      <w:r w:rsidRPr="00EB2A45">
        <w:rPr>
          <w:rStyle w:val="FootnoteReference"/>
          <w:color w:val="000000"/>
          <w:szCs w:val="24"/>
        </w:rPr>
        <w:footnoteReference w:id="5"/>
      </w:r>
      <w:r w:rsidRPr="00EB2A45">
        <w:t>;</w:t>
      </w:r>
    </w:p>
    <w:p w:rsidR="002C7253" w:rsidRPr="00EB2A45" w:rsidRDefault="002C7253" w:rsidP="002C7253">
      <w:pPr>
        <w:pStyle w:val="NormalHanging12a"/>
      </w:pPr>
      <w:r w:rsidRPr="00EB2A45">
        <w:t>E.</w:t>
      </w:r>
      <w:r w:rsidRPr="00EB2A45">
        <w:tab/>
        <w:t>considerando che, in alcune parti delle regioni colpite dell'Europa centrale e orientale, in soli quattro giorni sono caduti i tre quarti delle precipitazioni medie annuali; che una cooperazione efficace e coordinata tra i servizi di soccorso e il rapido scambio transfrontaliero di risorse e competenze hanno salvato vite umane e hanno evitato danni peggiori; che il coordinamento al livello dell'UE, la messa in comune delle risorse e lo scambio di migliori pratiche sono essenziali per il successo dei soccorsi in caso di catastrofi;</w:t>
      </w:r>
    </w:p>
    <w:p w:rsidR="002C7253" w:rsidRPr="00EB2A45" w:rsidRDefault="002C7253" w:rsidP="002C7253">
      <w:pPr>
        <w:pStyle w:val="NormalHanging12a"/>
      </w:pPr>
      <w:r w:rsidRPr="00EB2A45">
        <w:t>F.</w:t>
      </w:r>
      <w:r w:rsidRPr="00EB2A45">
        <w:tab/>
        <w:t>considerando che diversi Stati membri hanno attivato servizi di mappatura satellitare rapida di Copernicus durante le inondazioni del settembre 2024 (Germania, Polonia, Romania, Slovacchia e Ungheria);</w:t>
      </w:r>
    </w:p>
    <w:p w:rsidR="002C7253" w:rsidRPr="00EB2A45" w:rsidRDefault="002C7253" w:rsidP="002C7253">
      <w:pPr>
        <w:pStyle w:val="NormalHanging12a"/>
      </w:pPr>
      <w:r w:rsidRPr="00EB2A45">
        <w:t>G.</w:t>
      </w:r>
      <w:r w:rsidRPr="00EB2A45">
        <w:tab/>
        <w:t>considerando che la comunicazione della Commissione del 2024 sulla valutazione del meccanismo unionale di protezione civile (UCPM) individua le esigenze e le sfide che la protezione civile si trova ad affrontare in Europa e formula raccomandazioni per migliorare l'efficacia dell'UCPM; che la comunicazione della Commissione pone inoltre in evidenza le sfide e le minacce sempre più complesse e diversificate che interessano l'UE, tra cui il crescente numero di conflitti e di catastrofi naturali e provocate dall'uomo, come gli eventi meteorologici estremi, unitamente all'evoluzione dei rischi per la sicurezza, e illustra in che modo tali sviluppi mettono a dura prova il quadro di gestione dei rischi di catastrofi dell'UE e l'efficacia operativa dell'UCPM;</w:t>
      </w:r>
    </w:p>
    <w:p w:rsidR="002C7253" w:rsidRPr="00EB2A45" w:rsidRDefault="002C7253" w:rsidP="002C7253">
      <w:pPr>
        <w:pStyle w:val="NormalHanging12a"/>
      </w:pPr>
      <w:r w:rsidRPr="00EB2A45">
        <w:t>H.</w:t>
      </w:r>
      <w:r w:rsidRPr="00EB2A45">
        <w:tab/>
        <w:t>considerando che il Fondo di solidarietà dell'Unione europea (FSUE) è stato creato a seguito delle "alluvioni del Millennio" che hanno colpito la stessa regione nel 1997 e nel 2002; che, anche tenendo conto della revisione del quadro finanziario pluriennale (QFP), il bilancio dell'FSUE è ancora insufficiente per reagire adeguatamente alle catastrofi naturali gravi e per esprimere la solidarietà europea alle regioni colpite da una catastrofe;</w:t>
      </w:r>
    </w:p>
    <w:p w:rsidR="002C7253" w:rsidRPr="00EB2A45" w:rsidRDefault="002C7253" w:rsidP="002C7253">
      <w:pPr>
        <w:pStyle w:val="NormalHanging12a"/>
      </w:pPr>
      <w:r w:rsidRPr="00EB2A45">
        <w:t>I.</w:t>
      </w:r>
      <w:r w:rsidRPr="00EB2A45">
        <w:tab/>
        <w:t>considerando che le catastrofi naturali hanno un impatto negativo a lungo termine sulla coesione economica, sociale e territoriale in diverse zone, regioni e Stati membri dell'UE;</w:t>
      </w:r>
    </w:p>
    <w:p w:rsidR="002C7253" w:rsidRPr="00EB2A45" w:rsidRDefault="002C7253" w:rsidP="002C7253">
      <w:pPr>
        <w:pStyle w:val="NormalHanging12a"/>
      </w:pPr>
      <w:r w:rsidRPr="00EB2A45">
        <w:t>J.</w:t>
      </w:r>
      <w:r w:rsidRPr="00EB2A45">
        <w:tab/>
        <w:t xml:space="preserve">considerando che, in ragione dell'orientamento regionale, dell'approccio basato sul territorio, della pianificazione strategica e del modello di attuazione efficace che la caratterizzano, la politica di coesione dovrebbe svolgere un ruolo chiave nella </w:t>
      </w:r>
      <w:r w:rsidRPr="00EB2A45">
        <w:lastRenderedPageBreak/>
        <w:t>prevenzione delle catastrofi, nella ripresa dagli shock simmetrici e asimmetrici e nella lotta</w:t>
      </w:r>
      <w:r w:rsidR="00880226" w:rsidRPr="00EB2A45">
        <w:t xml:space="preserve"> contro i cambiamenti climatici considerando che, al fine di affrontare efficacemente tali sfide, è essenziale che il futuro QFP riconosca il ruolo cruciale della politica di coesione, garantendo un bilancio adeguato;</w:t>
      </w:r>
    </w:p>
    <w:p w:rsidR="002C7253" w:rsidRPr="00EB2A45" w:rsidRDefault="002C7253" w:rsidP="002C7253">
      <w:pPr>
        <w:pStyle w:val="NormalHanging12a"/>
      </w:pPr>
      <w:r w:rsidRPr="00EB2A45">
        <w:t>K.</w:t>
      </w:r>
      <w:r w:rsidRPr="00EB2A45">
        <w:tab/>
        <w:t>considerando che le soluzioni basate sulla natura sono essenziali per prevenire le catastrofi dovute alle condizioni meteorologiche derivanti dai cambiamenti climatici; che le pianure alluvionali e le foreste, i suoli e le brughiere sani, i mari, le zone umide e le torbiere, nonché le aree verdi naturali nelle città e nelle campagne mitigano l'impatto dei cambiamenti climatici trattenendo l'acqua e attenuando gli effetti delle inondazioni e della siccità;</w:t>
      </w:r>
    </w:p>
    <w:p w:rsidR="002C7253" w:rsidRPr="00EB2A45" w:rsidRDefault="002C7253" w:rsidP="002C7253">
      <w:pPr>
        <w:pStyle w:val="NormalHanging12a"/>
      </w:pPr>
      <w:r w:rsidRPr="00EB2A45">
        <w:t>L.</w:t>
      </w:r>
      <w:r w:rsidRPr="00EB2A45">
        <w:tab/>
        <w:t>considerando che la ricerca sui rischi di alluvioni e il contrasto di tale fenomeno richiedono un approccio olistico che tenga conto di vari fattori, tra cui l'industria, i trasporti, le pratiche di sottoscrizione assicurativa, la pianificazione del territorio e la distribuzione storica delle pianure alluvionali, il cambiamento demografico, la responsabilità finanziaria e altri aspetti pertinenti; che l'AEA ha sottolineato che i gruppi e le regioni vulnerabili sono più duramente colpiti dalle inondazioni e da altri fenomeni meteorologici estremi;</w:t>
      </w:r>
    </w:p>
    <w:p w:rsidR="002C7253" w:rsidRPr="00EB2A45" w:rsidRDefault="002C7253" w:rsidP="002C7253">
      <w:pPr>
        <w:pStyle w:val="NormalHanging12a"/>
        <w:rPr>
          <w:b/>
          <w:bCs/>
          <w:i/>
          <w:szCs w:val="24"/>
        </w:rPr>
      </w:pPr>
      <w:r w:rsidRPr="00EB2A45">
        <w:rPr>
          <w:b/>
          <w:i/>
        </w:rPr>
        <w:t>Considerazioni generali</w:t>
      </w:r>
    </w:p>
    <w:p w:rsidR="002C7253" w:rsidRPr="00EB2A45" w:rsidRDefault="002C7253" w:rsidP="002C7253">
      <w:pPr>
        <w:pStyle w:val="NormalHanging12a"/>
      </w:pPr>
      <w:r w:rsidRPr="00EB2A45">
        <w:t>1.</w:t>
      </w:r>
      <w:r w:rsidRPr="00EB2A45">
        <w:tab/>
        <w:t>esprime il suo più profondo cordoglio e la sua solidarietà alle vittime, alle loro famiglie nonché ai cittadini e alle comunità colpite dagli eventi meteorologici estremi in atto e da gravi inondazioni nell'Europa centrale e orientale, tra cui Austria, Cechia, Germania, Polonia, Romania, Slovacchia e Ungheria;</w:t>
      </w:r>
    </w:p>
    <w:p w:rsidR="002C7253" w:rsidRPr="00EB2A45" w:rsidRDefault="002C7253" w:rsidP="002C7253">
      <w:pPr>
        <w:pStyle w:val="NormalHanging12a"/>
      </w:pPr>
      <w:r w:rsidRPr="00EB2A45">
        <w:t>2.</w:t>
      </w:r>
      <w:r w:rsidRPr="00EB2A45">
        <w:tab/>
        <w:t>elogia gli sforzi e l'impegno instancabili dei vigili del fuoco professionisti e volontari, delle organizzazioni di soccorso, dei volontari e delle forze armate nei paesi colpiti dalle inondazioni e da altre catastrofi naturali in tutta l'Europa, così come le autorità nazionali, regionali e locali e i cittadini che hanno rischiato la vita per salvare gli altri e proteggere le abitazioni e le infrastrutture; sottolinea che i servizi di emergenza hanno svolto un ruolo cruciale nel salvare vite umane, evacuare persone dalle zone vulnerabili e proteggere i beni in condizioni spesso ardue, e che i loro sforzi instancabili e la loro volontà di agire, pur mettendo a rischio la loro vita, hanno svolto lo stesso ruolo cruciale nel limitare la catastrofe;</w:t>
      </w:r>
    </w:p>
    <w:p w:rsidR="002C7253" w:rsidRPr="00EB2A45" w:rsidRDefault="002C7253" w:rsidP="002C7253">
      <w:pPr>
        <w:pStyle w:val="NormalHanging12a"/>
      </w:pPr>
      <w:r w:rsidRPr="00EB2A45">
        <w:t>3.</w:t>
      </w:r>
      <w:r w:rsidRPr="00EB2A45">
        <w:tab/>
        <w:t>esprime profonda preoccupazione per la crescente intensità e frequenza degli eventi meteorologici estremi nell'UE e nel mondo, tra cui precipitazioni estreme e inondazioni su vasta scala, nonché per le ondate di calore e gli incendi boschivi, come pure per i loro gravi effetti diretti sulla salute umana e animale, sui mezzi di sussistenza, sulle abitazioni, sulle infrastrutture, sull'economia, sull'agricoltura, sulla sicurezza alimentare e sugli ecosistemi; evidenzia il legame tra i cambiamenti climatici e gli eventi meteorologici estremi e sottolinea l'importanza di affrontare tale nesso in modo efficace e coerente rafforzando la risposta collettiva a livello dell'UE e internazionale attraverso efficaci misure di protezione civile e misure di adattamento ai cambiamenti climatici e di mitigazione degli stessi, al fine di proteggere le persone, i loro mezzi di sussistenza, l'economia e gli ecosistemi;</w:t>
      </w:r>
    </w:p>
    <w:p w:rsidR="002C7253" w:rsidRPr="00EB2A45" w:rsidRDefault="002C7253" w:rsidP="002C7253">
      <w:pPr>
        <w:pStyle w:val="NormalHanging12a"/>
      </w:pPr>
      <w:r w:rsidRPr="00EB2A45">
        <w:t>4.</w:t>
      </w:r>
      <w:r w:rsidRPr="00EB2A45">
        <w:tab/>
        <w:t xml:space="preserve">sottolinea che per mantenere raggiungibile l'obiettivo a lungo termine dell'accordo di Parigi sono necessari sforzi collettivi e ulteriori azioni da parte di tutti i paesi coinvolti; </w:t>
      </w:r>
      <w:r w:rsidRPr="00EB2A45">
        <w:lastRenderedPageBreak/>
        <w:t>esorta tutte le parti della convenzione quadro delle Nazioni Unite sui cambiamenti climatici, compresa l'UE, a dare seguito agli sforzi globali concordati nella decisione relativa al bilancio globale attraverso l'ambiziosa attuazione e l'aumento dei contributi determinati a livello nazionale, in linea con l'obiettivo a lungo termine dell'accordo di Parigi; ricorda che l'UE, conformemente alla normativa europea sul clima, deve proseguire gli sforzi in materia di mitigazione dei cambiamenti climatici per conseguire tale obiettivo a lungo termine e di adattamento per promuovere la resilienza;</w:t>
      </w:r>
    </w:p>
    <w:p w:rsidR="002C7253" w:rsidRPr="00EB2A45" w:rsidRDefault="002C7253" w:rsidP="002C7253">
      <w:pPr>
        <w:pStyle w:val="NormalHanging12a"/>
        <w:rPr>
          <w:b/>
          <w:i/>
          <w:szCs w:val="24"/>
        </w:rPr>
      </w:pPr>
      <w:r w:rsidRPr="00EB2A45">
        <w:rPr>
          <w:b/>
          <w:i/>
        </w:rPr>
        <w:t>Protezione civile e finanziamento dei soccorsi in caso di calamità</w:t>
      </w:r>
    </w:p>
    <w:p w:rsidR="002C7253" w:rsidRPr="00EB2A45" w:rsidRDefault="002C7253" w:rsidP="002C7253">
      <w:pPr>
        <w:pStyle w:val="NormalHanging12a"/>
        <w:rPr>
          <w:szCs w:val="24"/>
        </w:rPr>
      </w:pPr>
      <w:r w:rsidRPr="00EB2A45">
        <w:rPr>
          <w:i/>
        </w:rPr>
        <w:t>Protezione civile</w:t>
      </w:r>
    </w:p>
    <w:p w:rsidR="002C7253" w:rsidRPr="00EB2A45" w:rsidRDefault="002C7253" w:rsidP="002C7253">
      <w:pPr>
        <w:pStyle w:val="NormalHanging12a"/>
      </w:pPr>
      <w:r w:rsidRPr="00EB2A45">
        <w:t>5.</w:t>
      </w:r>
      <w:r w:rsidRPr="00EB2A45">
        <w:tab/>
        <w:t>chiede alla Commissione e agli Stati membri di essere pronti a fornire aiuto senza indugio a qualsiasi Stato membro che richieda assistenza di emergenza a titolo dell'UCPM; accoglie con favore l'impegno del governo ucraino di sostenere l'UE con personale e attrezzature dei servizi di emergenza;</w:t>
      </w:r>
    </w:p>
    <w:p w:rsidR="002C7253" w:rsidRPr="00EB2A45" w:rsidRDefault="002C7253" w:rsidP="002C7253">
      <w:pPr>
        <w:pStyle w:val="NormalHanging12a"/>
      </w:pPr>
      <w:r w:rsidRPr="00EB2A45">
        <w:t>6.</w:t>
      </w:r>
      <w:r w:rsidRPr="00EB2A45">
        <w:tab/>
        <w:t>sottolinea la necessità di dotare l'UCPM di risorse sufficienti e potenziate al fine di aumentare la preparazione e di migliorare lo sviluppo di capacità; deplora pertanto i tagli di bilancio di 37 milioni di EUR (in impegni) e di 154.9 milioni di EUR (in pagamenti) per l'UCPM (rescEU); chiede che siano destinati maggiori stanziamenti alle pertinenti linee di bilancio e nel prossimo QFP; invita la Commissione a valutare l'integrazione della riduzione e della gestione del rischio di catastrofi nei pertinenti programmi di finanziamento dell'UE, considerando che tutti i fondi spesi in questo settore consentiranno di evitare spese sostanziali per la risposta e la ricostruzione;</w:t>
      </w:r>
    </w:p>
    <w:p w:rsidR="002C7253" w:rsidRPr="00EB2A45" w:rsidRDefault="002C7253" w:rsidP="002C7253">
      <w:pPr>
        <w:pStyle w:val="NormalHanging12a"/>
      </w:pPr>
      <w:r w:rsidRPr="00EB2A45">
        <w:t>7.</w:t>
      </w:r>
      <w:r w:rsidRPr="00EB2A45">
        <w:tab/>
        <w:t>invita la Commissione a dare seguito alle raccomandazioni contenute nella sua comunicazione del 29 maggio 2024 e a presentare proposte concrete per rafforzare le capacità di risposta operativa dell'UCPM; invita la Commissione a ultimare celermente il previsto riesame dell'UCPM, compreso il suo Centro di coordinamento della risposta alle emergenze (ERCC), nel primo anno di mandato della nuova Commissione, e a presentare misure concrete per rafforzare e sviluppare ulteriormente la capacità collettiva dell'Unione di risposta alle calamità naturali, come la creazione di una forza di protezione civile dell'Unione collegata a riserve strategiche di cibo, acqua, medicinali e attrezzature mediche, sostenendo l'introduzione di strumenti di allerta rapida basati su dispositivi mobili per i cittadini, l'aggiudicazione congiunta di nuovi appalti pubblici per ammodernare i mezzi della protezione civile e programmi di sostegno per il perfezionamento professionale, le attrezzature e gli scambi di servizi di protezione civile basati sul volontariato; invita la Commissione e gli Stati membri ad accelerare la creazione della nuova flotta permanente RescEU e a garantire che disponga di sufficienti finanziamenti;</w:t>
      </w:r>
    </w:p>
    <w:p w:rsidR="002C7253" w:rsidRPr="00EB2A45" w:rsidRDefault="002C7253" w:rsidP="002C7253">
      <w:pPr>
        <w:pStyle w:val="NormalHanging12a"/>
        <w:rPr>
          <w:szCs w:val="24"/>
        </w:rPr>
      </w:pPr>
      <w:r w:rsidRPr="00EB2A45">
        <w:rPr>
          <w:i/>
        </w:rPr>
        <w:t>Assistenza finanziaria e strumenti di bilancio</w:t>
      </w:r>
    </w:p>
    <w:p w:rsidR="002C7253" w:rsidRPr="00EB2A45" w:rsidRDefault="002C7253" w:rsidP="002C7253">
      <w:pPr>
        <w:pStyle w:val="NormalHanging12a"/>
      </w:pPr>
      <w:r w:rsidRPr="00EB2A45">
        <w:t>8.</w:t>
      </w:r>
      <w:r w:rsidRPr="00EB2A45">
        <w:tab/>
        <w:t>chiede che sia fornita l'immediata assistenza finanziaria e tecnica dell'UE ai paesi colpiti;</w:t>
      </w:r>
    </w:p>
    <w:p w:rsidR="00880226" w:rsidRPr="00EB2A45" w:rsidRDefault="00880226" w:rsidP="002C7253">
      <w:pPr>
        <w:pStyle w:val="NormalHanging12a"/>
      </w:pPr>
      <w:r w:rsidRPr="00EB2A45">
        <w:t>9.</w:t>
      </w:r>
      <w:r w:rsidRPr="00EB2A45">
        <w:tab/>
        <w:t>chiede urgentemente l'attivazione della riserva di crisi della PAC per alleviare le gravi perdite subite dal settore agricolo in Romania a causa delle catastrofi naturali;</w:t>
      </w:r>
    </w:p>
    <w:p w:rsidR="002C7253" w:rsidRPr="00EB2A45" w:rsidRDefault="00880226" w:rsidP="002C7253">
      <w:pPr>
        <w:pStyle w:val="NormalHanging12a"/>
      </w:pPr>
      <w:r w:rsidRPr="00EB2A45">
        <w:t>10</w:t>
      </w:r>
      <w:r w:rsidR="002C7253" w:rsidRPr="00EB2A45">
        <w:t>.</w:t>
      </w:r>
      <w:r w:rsidR="002C7253" w:rsidRPr="00EB2A45">
        <w:tab/>
        <w:t xml:space="preserve">chiede l'attivazione di meccanismi come il FSUE; ritiene tuttavia che la dotazione del </w:t>
      </w:r>
      <w:r w:rsidR="002C7253" w:rsidRPr="00EB2A45">
        <w:lastRenderedPageBreak/>
        <w:t>FSUE debba essere commisurata al numero e alla gravità crescenti delle calamità naturali in tutta Europa; esorta la Commissione a incrementare la dotazione della riserva di solidarietà europea (ESR); la esorta inoltre a prendere in esame tutte le possibilità per accelerare la mobilitazione del FSUE; sottolinea pertanto l'importanza di garantire finanziamenti sufficienti per il FSUE nell'ambito del prossimo QFP; insiste inoltre sulla necessità di una ragionevole flessibilità quando le regioni e i paesi beneficiari si trovano a far fronte a ritardi e difficoltà giustificabili in sede di presentazione delle domande di finanziamento e di utilizzo dei fondi assegnati; chiede inoltre una linea di bilancio per finanziamenti d'urgenza al fine di facilitare la ripresa rapida delle zone, delle infrastrutture e dei mezzi di sussistenza colpiti, nonché investimenti in misure di prevenzione per ridurre gli effetti di futuri eventi meteorologici estremi;</w:t>
      </w:r>
    </w:p>
    <w:p w:rsidR="002C7253" w:rsidRPr="00EB2A45" w:rsidRDefault="002C7253" w:rsidP="002C7253">
      <w:pPr>
        <w:pStyle w:val="NormalHanging12a"/>
        <w:rPr>
          <w:rFonts w:eastAsia="Calibri"/>
          <w:i/>
          <w:iCs/>
          <w:szCs w:val="24"/>
        </w:rPr>
      </w:pPr>
      <w:r w:rsidRPr="00EB2A45">
        <w:rPr>
          <w:i/>
        </w:rPr>
        <w:t>Politica regionale</w:t>
      </w:r>
    </w:p>
    <w:p w:rsidR="002C7253" w:rsidRPr="00EB2A45" w:rsidRDefault="002C7253" w:rsidP="002C7253">
      <w:pPr>
        <w:pStyle w:val="NormalHanging12a"/>
      </w:pPr>
      <w:r w:rsidRPr="00EB2A45">
        <w:t>1</w:t>
      </w:r>
      <w:r w:rsidR="00880226" w:rsidRPr="00EB2A45">
        <w:t>1</w:t>
      </w:r>
      <w:r w:rsidRPr="00EB2A45">
        <w:t>.</w:t>
      </w:r>
      <w:r w:rsidRPr="00EB2A45">
        <w:tab/>
        <w:t>invita la Commissione a prestare assistenza tecnica e finanziaria alle regioni colpite in modo sproporzionato dalle calamità naturali esacerbate dal cambiamento climatico, anche attraverso gli strumenti della politica di coesione, garantendo che nessuno Stato membro o regione sia lasciato indietro negli sforzi intesi a rafforzare la resilienza al cambiamento climatico e la preparazione alle calamità; sottolinea che è indispensabile che gli aiuti e le risorse finanziarie siano messi a disposizione nelle zone colpite nel modo più rapido, semplice e flessibile possibile;</w:t>
      </w:r>
    </w:p>
    <w:p w:rsidR="00880226" w:rsidRPr="00EB2A45" w:rsidRDefault="00880226" w:rsidP="002C7253">
      <w:pPr>
        <w:pStyle w:val="NormalHanging12a"/>
      </w:pPr>
      <w:r w:rsidRPr="00EB2A45">
        <w:t>12.</w:t>
      </w:r>
      <w:r w:rsidRPr="00EB2A45">
        <w:tab/>
        <w:t>rileva che un aumento sostanziale dei pagamenti anticipati a titolo del FSUE permetterebbe agli Stati membri di rispondere in modo più efficace e rapido alle catastrofi, in particolare nelle regioni meno sviluppate, dove si impone un'assistenza immediata; esorta la Commissione a esaminare tutte le possibilità per accelerare la mobilitazione del FSUE, in particolare modificando le norme vigenti, e a prendere in considerazione la possibilità di concedere pagamenti anticipati più consistenti ai paesi candidati;</w:t>
      </w:r>
    </w:p>
    <w:p w:rsidR="002C7253" w:rsidRPr="00EB2A45" w:rsidRDefault="00880226" w:rsidP="002C7253">
      <w:pPr>
        <w:pStyle w:val="NormalHanging12a"/>
      </w:pPr>
      <w:r w:rsidRPr="00EB2A45">
        <w:t>13</w:t>
      </w:r>
      <w:r w:rsidR="002C7253" w:rsidRPr="00EB2A45">
        <w:t>.</w:t>
      </w:r>
      <w:r w:rsidR="002C7253" w:rsidRPr="00EB2A45">
        <w:tab/>
        <w:t>è fermamente favorevole all'incremento degli investimenti dell'UE legati alla resilienza regionale e locale nel prossimo QFP, in particolare nell'ambito della politica di coesione; riconosce la necessità di una flessibilità intrinseca in caso di crisi nel contesto dei finanziamenti regionali, al fine di salvaguardare investimenti aggiuntivi per progetti che sono stati danneggiati o distrutti prima della loro completa attuazione; propone la creazione di un apposito asse prioritario nell'ambito della politica di coesione che permetta agli enti locali e regionali di affrontare le priorità emergenti in un processo dal basso verso l'alto, avviato a livello subnazionale; ritiene che, come principio fondamentale, si dovrebbe adottare un approccio agli investimenti su misura e orientato alle esigenze specifiche sul terreno;</w:t>
      </w:r>
    </w:p>
    <w:p w:rsidR="002C7253" w:rsidRPr="00EB2A45" w:rsidRDefault="002C7253" w:rsidP="002C7253">
      <w:pPr>
        <w:pStyle w:val="NormalHanging12a"/>
      </w:pPr>
      <w:r w:rsidRPr="00EB2A45">
        <w:t>1</w:t>
      </w:r>
      <w:r w:rsidR="00880226" w:rsidRPr="00EB2A45">
        <w:t>4</w:t>
      </w:r>
      <w:r w:rsidRPr="00EB2A45">
        <w:t>.</w:t>
      </w:r>
      <w:r w:rsidRPr="00EB2A45">
        <w:tab/>
        <w:t>riconosce che la futura politica di coesione dell'UE dovrebbe concentrarsi ancora di più sull'attenuazione del cambiamento climatico e sull'adattamento allo stesso; chiede pertanto che gli investimenti destinati all'adattamento al cambiamento climatico, così come alla prevenzione e preparazione alle catastrofi, siano garantiti attraverso un obiettivo strategico specifico o un asse prioritario specifico nell'ambito dello sviluppo regionale e del quadro generale della politica di coesione, concentrazione tematica o una specifica condizione abilitante per fronteggiare le priorità strategiche in un processo dal basso verso l'alto, onde garantire investimenti sostenibili nelle infrastrutture locali, regionali e nazionali e nella gestione dei rischi nelle zone urbane e rurali meno sviluppate, tra cui le regioni frontaliere, le isole e le regioni ultraperiferiche;</w:t>
      </w:r>
    </w:p>
    <w:p w:rsidR="002C7253" w:rsidRPr="00EB2A45" w:rsidRDefault="002C7253" w:rsidP="002C7253">
      <w:pPr>
        <w:pStyle w:val="NormalHanging12a"/>
      </w:pPr>
      <w:r w:rsidRPr="00EB2A45">
        <w:lastRenderedPageBreak/>
        <w:t>1</w:t>
      </w:r>
      <w:r w:rsidR="00880226" w:rsidRPr="00EB2A45">
        <w:t>5</w:t>
      </w:r>
      <w:r w:rsidRPr="00EB2A45">
        <w:t>.</w:t>
      </w:r>
      <w:r w:rsidRPr="00EB2A45">
        <w:tab/>
        <w:t>evidenzia l'importanza di elaborare e mantenere programmi e interventi dell'UE su misura per le regioni soggette a calamità naturali; prende atto della necessità di una flessibilità intrinseca in caso di crisi nel contesto dei finanziamenti regionali;</w:t>
      </w:r>
    </w:p>
    <w:p w:rsidR="002C7253" w:rsidRPr="00EB2A45" w:rsidRDefault="002C7253" w:rsidP="002C7253">
      <w:pPr>
        <w:pStyle w:val="NormalHanging12a"/>
      </w:pPr>
      <w:r w:rsidRPr="00EB2A45">
        <w:t>1</w:t>
      </w:r>
      <w:r w:rsidR="00880226" w:rsidRPr="00EB2A45">
        <w:t>6</w:t>
      </w:r>
      <w:r w:rsidRPr="00EB2A45">
        <w:t>.</w:t>
      </w:r>
      <w:r w:rsidRPr="00EB2A45">
        <w:tab/>
        <w:t>ritiene che gli investimenti regionali a titolo del bilancio dell'UE debbano restare in regime di gestione concorrente per quanto riguarda la programmazione e l'attuazione, affinché possano rispondere alle esigenze degli Stati membri, delle regioni e delle zone urbane, rurali e remote, in particolare per permettere alle zone urbane e rurali di adattarsi a nuove sfide, come le inondazioni;</w:t>
      </w:r>
    </w:p>
    <w:p w:rsidR="002C7253" w:rsidRPr="00EB2A45" w:rsidRDefault="002C7253" w:rsidP="002C7253">
      <w:pPr>
        <w:pStyle w:val="NormalHanging12a"/>
      </w:pPr>
      <w:r w:rsidRPr="00EB2A45">
        <w:t>1</w:t>
      </w:r>
      <w:r w:rsidR="00880226" w:rsidRPr="00EB2A45">
        <w:t>7</w:t>
      </w:r>
      <w:r w:rsidRPr="00EB2A45">
        <w:t>.</w:t>
      </w:r>
      <w:r w:rsidRPr="00EB2A45">
        <w:tab/>
        <w:t>insiste sulle differenze che esistono tra gli Stati membri per quanto riguarda le competenze degli enti locali e regionali; ricorda che gli enti locali e regionali sono attori fondamentali nella pianificazione, nella preparazione e nell'attuazione dei progetti che dovrebbero contribuire all'adattamento al cambiamento climatico, alla prevenzione dei rischi e alla preparazione sul terreno; chiede di rafforzare l'approccio basato sul territorio per avvicinare la preparazione alle catastrofi e la gestione delle stesse ai livelli regionale e locale;</w:t>
      </w:r>
    </w:p>
    <w:p w:rsidR="002C7253" w:rsidRPr="00EB2A45" w:rsidRDefault="002C7253" w:rsidP="002C7253">
      <w:pPr>
        <w:pStyle w:val="NormalHanging12a"/>
      </w:pPr>
      <w:r w:rsidRPr="00EB2A45">
        <w:t>1</w:t>
      </w:r>
      <w:r w:rsidR="00880226" w:rsidRPr="00EB2A45">
        <w:t>8</w:t>
      </w:r>
      <w:r w:rsidRPr="00EB2A45">
        <w:t>.</w:t>
      </w:r>
      <w:r w:rsidRPr="00EB2A45">
        <w:tab/>
        <w:t>sottolinea che la politica regionale dell'UE è stata determinante nel contribuire allo sviluppo delle corrispondenti capacità degli enti locali e regionali e chiede il rafforzamento del loro ruolo; sottolinea che la capacità tecnica, finanziaria e amministrativa è essenziale per garantire che gli organi di gestione e gli enti locali e regionali acquisiscano conoscenze tecniche, soprattutto in materia di cambiamento climatico, che possano essere utilizzate per la pianificazione e la gestione urbane e rurali; è convinto che ciò migliorerà la progettazione e la valutazione delle proposte di progetti e permetterà un'assegnazione più efficace delle risorse e un'esecuzione soddisfacente del bilancio, senza comportare un rischio significativo di disimpegno degli investimenti dell'UE;</w:t>
      </w:r>
    </w:p>
    <w:p w:rsidR="002C7253" w:rsidRPr="00EB2A45" w:rsidRDefault="002C7253" w:rsidP="002C7253">
      <w:pPr>
        <w:pStyle w:val="NormalHanging12a"/>
      </w:pPr>
      <w:r w:rsidRPr="00EB2A45">
        <w:t>1</w:t>
      </w:r>
      <w:r w:rsidR="00880226" w:rsidRPr="00EB2A45">
        <w:t>9</w:t>
      </w:r>
      <w:r w:rsidRPr="00EB2A45">
        <w:t>.</w:t>
      </w:r>
      <w:r w:rsidRPr="00EB2A45">
        <w:tab/>
        <w:t>chiede che i programmi di assistenza e consulenza tecnica esistenti siano espressamente rivolti ai comuni più piccoli, alle zone transfrontaliere, remote e rurali, e alle regioni ultraperiferiche e insulari, per aiutarli ad affrontare nuove sfide quali la transizione verde e il cambiamento climatico; sottolinea, a tale proposito, l'importanza di sviluppare strumenti di assistenza tecnica attraverso la collaborazione tra la Banca europea per gli investimenti e la Commissione; chiede un sostegno mirato sotto forma di un finanziamento al 100 % dell'UE per lo sviluppo di capacità tecniche, finanziarie e amministrative, l'elaborazione e la preparazione di progetti, l'individuazione e lo sviluppo di una riserva di progetti e le capacità di pianificazione strategica, compresi gli strumenti di pianificazione;</w:t>
      </w:r>
    </w:p>
    <w:p w:rsidR="002C7253" w:rsidRPr="00EB2A45" w:rsidRDefault="00880226" w:rsidP="002C7253">
      <w:pPr>
        <w:pStyle w:val="NormalHanging12a"/>
      </w:pPr>
      <w:r w:rsidRPr="00EB2A45">
        <w:t>20</w:t>
      </w:r>
      <w:r w:rsidR="002C7253" w:rsidRPr="00EB2A45">
        <w:t>.</w:t>
      </w:r>
      <w:r w:rsidR="002C7253" w:rsidRPr="00EB2A45">
        <w:tab/>
        <w:t>chiede un maggiore coinvolgimento delle iniziative della Commissione, come il Patto dei sindaci per il clima e l'energia dell'UE, nel processo di elaborazione e attuazione della prossima generazione di norme della politica di coesione; riconosce che il sostegno alle politiche e all'attuazione, rivolto ai sindaci e agli enti locali, genera risultati significativamente migliori nel contesto dell'attuazione delle politiche;</w:t>
      </w:r>
    </w:p>
    <w:p w:rsidR="002C7253" w:rsidRPr="00EB2A45" w:rsidRDefault="00880226" w:rsidP="002C7253">
      <w:pPr>
        <w:pStyle w:val="NormalHanging12a"/>
      </w:pPr>
      <w:r w:rsidRPr="00EB2A45">
        <w:t>21</w:t>
      </w:r>
      <w:r w:rsidR="002C7253" w:rsidRPr="00EB2A45">
        <w:t>.</w:t>
      </w:r>
      <w:r w:rsidR="002C7253" w:rsidRPr="00EB2A45">
        <w:tab/>
        <w:t>incoraggia il rafforzamento dei quadri di cooperazione regionale tra i paesi dell'Europa centrale e orientale e il ricorso a esperti internazionali per sostenere gli sforzi di ripristino e riabilitazione, al fine di promuovere strategie congiunte di gestione delle calamità, condividere prassi eccellenti e migliorare la gestione transfrontaliera delle risorse idriche;</w:t>
      </w:r>
    </w:p>
    <w:p w:rsidR="002C7253" w:rsidRPr="00EB2A45" w:rsidRDefault="002C7253" w:rsidP="002C7253">
      <w:pPr>
        <w:pStyle w:val="NormalHanging12a"/>
        <w:rPr>
          <w:bCs/>
          <w:szCs w:val="24"/>
        </w:rPr>
      </w:pPr>
      <w:r w:rsidRPr="00EB2A45">
        <w:rPr>
          <w:i/>
        </w:rPr>
        <w:lastRenderedPageBreak/>
        <w:t>Adattamento al cambiamento climatico</w:t>
      </w:r>
    </w:p>
    <w:p w:rsidR="002C7253" w:rsidRPr="00EB2A45" w:rsidRDefault="002C7253" w:rsidP="002C7253">
      <w:pPr>
        <w:pStyle w:val="NormalHanging12a"/>
      </w:pPr>
      <w:r w:rsidRPr="00EB2A45">
        <w:t>2</w:t>
      </w:r>
      <w:r w:rsidR="00880226" w:rsidRPr="00EB2A45">
        <w:t>2</w:t>
      </w:r>
      <w:r w:rsidRPr="00EB2A45">
        <w:t>.</w:t>
      </w:r>
      <w:r w:rsidRPr="00EB2A45">
        <w:tab/>
        <w:t>invita la Commissione a presentare rapidamente il piano europeo di adattamento al cambiamento climatico che ha annunciato nell'ambito degli orientamenti politici 2024-2029 per la prossima Commissione europea, tra cui proposte legislative concrete, al fine di coordinare gli sforzi intesi a rafforzare l'adattamento e la resilienza in linea con gli obiettivi della legge europea sul clima e dell'accordo di Parigi, onde rafforzare la resilienza delle nostre società e adattarsi alle incidenze del cambiamento climatico, garantire valutazioni periodiche dei rischi basate su dati scientifici, obiettivi misurabili in materia di resilienza e sostenere e coordinare gli interventi degli Stati membri in materia di preparazione, pianificazione e cooperazione transfrontaliera;</w:t>
      </w:r>
    </w:p>
    <w:p w:rsidR="002C7253" w:rsidRPr="00EB2A45" w:rsidRDefault="002C7253" w:rsidP="002C7253">
      <w:pPr>
        <w:pStyle w:val="NormalHanging12a"/>
      </w:pPr>
      <w:r w:rsidRPr="00EB2A45">
        <w:t>2</w:t>
      </w:r>
      <w:r w:rsidR="00880226" w:rsidRPr="00EB2A45">
        <w:t>3</w:t>
      </w:r>
      <w:r w:rsidRPr="00EB2A45">
        <w:t>.</w:t>
      </w:r>
      <w:r w:rsidRPr="00EB2A45">
        <w:tab/>
        <w:t>sottolinea, a tale proposito, la necessità di ulteriori investimenti urgenti in misure per la gestione delle alluvioni e la prevenzione dei rischi, tra cui il miglioramento dei sistemi di allerta rapida, dei sistemi di monitoraggio in tempo reale, delle infrastrutture di gestione delle alluvioni e delle soluzioni naturali, nonché investimenti a lungo termine nelle infrastrutture verdi e blu, ad esempio dando più spazio ai corsi d'acqua e ai fiumi tramite il ripristino delle pianure alluvionali naturali e dei vecchi letti dei fiumi, le zone umide e le foreste, e migliorando la ritenzione idrica tramite il ripristino della funzione assorbente dei paesaggi; chiede che gli Stati membri sfruttino tutte le potenziali sinergie tra gli strumenti di pianificazione in fase di sviluppo, ad esempio i piani di ripristino della natura, i piani di gestione del suolo, i piani di gestione integrata ai sensi della direttiva sul trattamento delle acque reflue urbane</w:t>
      </w:r>
      <w:r w:rsidRPr="00EB2A45">
        <w:rPr>
          <w:rStyle w:val="FootnoteReference"/>
        </w:rPr>
        <w:footnoteReference w:id="6"/>
      </w:r>
      <w:r w:rsidRPr="00EB2A45">
        <w:t xml:space="preserve"> e la gestione del rischio di alluvioni, evitando nel contempo il maladattamento;</w:t>
      </w:r>
    </w:p>
    <w:p w:rsidR="002C7253" w:rsidRPr="00EB2A45" w:rsidRDefault="002C7253" w:rsidP="002C7253">
      <w:pPr>
        <w:pStyle w:val="NormalHanging12a"/>
      </w:pPr>
      <w:r w:rsidRPr="00EB2A45">
        <w:t>2</w:t>
      </w:r>
      <w:r w:rsidR="00880226" w:rsidRPr="00EB2A45">
        <w:t>4</w:t>
      </w:r>
      <w:r w:rsidRPr="00EB2A45">
        <w:t>.</w:t>
      </w:r>
      <w:r w:rsidRPr="00EB2A45">
        <w:tab/>
        <w:t>invita, a tale proposito, la Commissione a ridurre gli ostacoli burocratici e ad accelerare le procedure di approvazione per la riparazione e la costruzione di infrastrutture di gestione delle inondazioni e di soluzioni naturali, in modo che le misure di protezione urgentemente necessarie possano essere attuate senza inutili ritardi; insiste sul fatto che ciò richiede procedure più celeri, responsabilità ben definite e una chiara attenzione alle necessarie misure di costruzione;</w:t>
      </w:r>
    </w:p>
    <w:p w:rsidR="002C7253" w:rsidRPr="00EB2A45" w:rsidRDefault="002C7253" w:rsidP="002C7253">
      <w:pPr>
        <w:pStyle w:val="NormalHanging12a"/>
      </w:pPr>
      <w:r w:rsidRPr="00EB2A45">
        <w:t>2</w:t>
      </w:r>
      <w:r w:rsidR="00880226" w:rsidRPr="00EB2A45">
        <w:t>5</w:t>
      </w:r>
      <w:r w:rsidRPr="00EB2A45">
        <w:t>.</w:t>
      </w:r>
      <w:r w:rsidRPr="00EB2A45">
        <w:tab/>
        <w:t>sottolinea diversi esempi di misure efficaci di prevenzione delle inondazioni e protezione dalle stesse, spesso con il concorso dei fondi dell'UE, che hanno aiutato alcune regioni e comunità a proteggersi dai peggiori effetti delle inondazioni in atto, come il bacino di Racibórz Dolny e i circostanti polder secchi in Polonia, che hanno svolto un ruolo chiave nel limitare i danni a Breslavia, nonché le pianure alluvionali del Danubio e altre misure di prevenzione nella Bassa Austria e a Vienna;</w:t>
      </w:r>
    </w:p>
    <w:p w:rsidR="002C7253" w:rsidRPr="00EB2A45" w:rsidRDefault="002C7253" w:rsidP="002C7253">
      <w:pPr>
        <w:pStyle w:val="NormalHanging12a"/>
      </w:pPr>
      <w:r w:rsidRPr="00EB2A45">
        <w:t>2</w:t>
      </w:r>
      <w:r w:rsidR="00880226" w:rsidRPr="00EB2A45">
        <w:t>6</w:t>
      </w:r>
      <w:r w:rsidRPr="00EB2A45">
        <w:t>.</w:t>
      </w:r>
      <w:r w:rsidRPr="00EB2A45">
        <w:tab/>
        <w:t>chiede alla Commissione di valutare l'attuazione della legislazione vigente in materia di prevenzione delle inondazioni nell'UE e l'efficacia dei precedenti progetti finanziati dall'Unione, formulando raccomandazioni per un migliore utilizzo dei fondi dell'UE; invita gli Stati membri ad aggiornare i loro piani d'azione per la prevenzione delle inondazioni allo scopo di definire le zone ad elevato rischio di alluvioni e quelle in cui i piani edilizi dovrebbero essere bloccati, onde migliorare la prevenzione dei rischi e potenziare la protezione civile;</w:t>
      </w:r>
    </w:p>
    <w:p w:rsidR="002C7253" w:rsidRPr="00EB2A45" w:rsidRDefault="002C7253" w:rsidP="002C7253">
      <w:pPr>
        <w:pStyle w:val="NormalHanging12a"/>
      </w:pPr>
      <w:r w:rsidRPr="00EB2A45">
        <w:t>2</w:t>
      </w:r>
      <w:r w:rsidR="00880226" w:rsidRPr="00EB2A45">
        <w:t>7</w:t>
      </w:r>
      <w:r w:rsidRPr="00EB2A45">
        <w:t>.</w:t>
      </w:r>
      <w:r w:rsidRPr="00EB2A45">
        <w:tab/>
        <w:t xml:space="preserve">insiste sul fatto che la lotta alle disuguaglianze socioeconomiche è essenziale ai fini di un giusto adattamento al cambiamento climatico; sottolinea che i diversi gradi di </w:t>
      </w:r>
      <w:r w:rsidRPr="00EB2A45">
        <w:lastRenderedPageBreak/>
        <w:t>vulnerabilità tra vari gruppi richiedono un approccio mirato all'adattamento al cambiamento climatico come pure alla preparazione e alla prevenzione delle calamità;</w:t>
      </w:r>
    </w:p>
    <w:p w:rsidR="002C7253" w:rsidRPr="00EB2A45" w:rsidRDefault="002C7253" w:rsidP="002C7253">
      <w:pPr>
        <w:pStyle w:val="NormalHanging12a"/>
        <w:rPr>
          <w:rFonts w:eastAsia="Calibri"/>
        </w:rPr>
      </w:pPr>
      <w:r w:rsidRPr="00EB2A45">
        <w:t>2</w:t>
      </w:r>
      <w:r w:rsidR="00880226" w:rsidRPr="00EB2A45">
        <w:t>8</w:t>
      </w:r>
      <w:r w:rsidRPr="00EB2A45">
        <w:t>.</w:t>
      </w:r>
      <w:r w:rsidRPr="00EB2A45">
        <w:tab/>
        <w:t>insiste sul fatto che inondazioni, siccità, incendi boschivi e altri eventi meteorologici estremi costituiscono sfide importanti per numerosi settori economici, in particolare per l'agricoltura e gli agricoltori, che stanno subendo ulteriori perdite e non possono beneficiare del raccolto; invita la Commissione ad affrontare meglio l'impatto di tali rischi climatici sulla produzione alimentare, la sicurezza alimentare e i redditi degli agricoltori;</w:t>
      </w:r>
    </w:p>
    <w:p w:rsidR="002C7253" w:rsidRPr="00EB2A45" w:rsidRDefault="002C7253" w:rsidP="002C7253">
      <w:pPr>
        <w:pStyle w:val="NormalHanging12a"/>
      </w:pPr>
      <w:r w:rsidRPr="00EB2A45">
        <w:t>2</w:t>
      </w:r>
      <w:r w:rsidR="00880226" w:rsidRPr="00EB2A45">
        <w:t>9</w:t>
      </w:r>
      <w:r w:rsidRPr="00EB2A45">
        <w:t>.</w:t>
      </w:r>
      <w:r w:rsidRPr="00EB2A45">
        <w:tab/>
        <w:t>raccomanda l'uso di prodotti avanzati del programma Copernicus e di dati di telerilevamento a sostegno delle misure di prevenzione;</w:t>
      </w:r>
    </w:p>
    <w:p w:rsidR="002C7253" w:rsidRPr="00EB2A45" w:rsidRDefault="00880226" w:rsidP="002C7253">
      <w:pPr>
        <w:pStyle w:val="NormalHanging12a"/>
      </w:pPr>
      <w:r w:rsidRPr="00EB2A45">
        <w:t>30</w:t>
      </w:r>
      <w:r w:rsidR="002C7253" w:rsidRPr="00EB2A45">
        <w:t>.</w:t>
      </w:r>
      <w:r w:rsidR="002C7253" w:rsidRPr="00EB2A45">
        <w:tab/>
        <w:t>incarica la sua Presidente di trasmettere la presente risoluzione al Consiglio e alla Commissione, nonché ai governi e ai parlamenti degli Stati membri.</w:t>
      </w:r>
    </w:p>
    <w:p w:rsidR="00E365E1" w:rsidRPr="00EB2A45" w:rsidRDefault="00E365E1" w:rsidP="00951DD0">
      <w:bookmarkStart w:id="8" w:name="TextBodyEnd"/>
      <w:bookmarkEnd w:id="8"/>
    </w:p>
    <w:sectPr w:rsidR="00E365E1" w:rsidRPr="00EB2A45" w:rsidSect="00EE6B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DD0" w:rsidRPr="00EE6B23" w:rsidRDefault="00951DD0">
      <w:r w:rsidRPr="00EE6B23">
        <w:separator/>
      </w:r>
    </w:p>
  </w:endnote>
  <w:endnote w:type="continuationSeparator" w:id="0">
    <w:p w:rsidR="00951DD0" w:rsidRPr="00EE6B23" w:rsidRDefault="00951DD0">
      <w:r w:rsidRPr="00EE6B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6B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6B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6B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DD0" w:rsidRPr="00EE6B23" w:rsidRDefault="00951DD0">
      <w:r w:rsidRPr="00EE6B23">
        <w:separator/>
      </w:r>
    </w:p>
  </w:footnote>
  <w:footnote w:type="continuationSeparator" w:id="0">
    <w:p w:rsidR="00951DD0" w:rsidRPr="00EE6B23" w:rsidRDefault="00951DD0">
      <w:r w:rsidRPr="00EE6B23">
        <w:continuationSeparator/>
      </w:r>
    </w:p>
  </w:footnote>
  <w:footnote w:id="1">
    <w:p w:rsidR="002C7253" w:rsidRPr="00EE6B23" w:rsidRDefault="002C7253" w:rsidP="00EE6B23">
      <w:pPr>
        <w:pStyle w:val="FootnoteText"/>
        <w:ind w:left="567" w:hanging="567"/>
        <w:rPr>
          <w:sz w:val="24"/>
          <w:lang w:val="it-IT"/>
        </w:rPr>
      </w:pPr>
      <w:r w:rsidRPr="00EE6B23">
        <w:rPr>
          <w:rStyle w:val="FootnoteReference"/>
          <w:sz w:val="24"/>
          <w:lang w:val="it-IT"/>
        </w:rPr>
        <w:footnoteRef/>
      </w:r>
      <w:r w:rsidR="00EE6B23" w:rsidRPr="00EE6B23">
        <w:rPr>
          <w:sz w:val="24"/>
          <w:lang w:val="it-IT"/>
        </w:rPr>
        <w:t xml:space="preserve"> </w:t>
      </w:r>
      <w:r w:rsidR="00EE6B23" w:rsidRPr="00EE6B23">
        <w:rPr>
          <w:sz w:val="24"/>
          <w:lang w:val="it-IT"/>
        </w:rPr>
        <w:tab/>
      </w:r>
      <w:r w:rsidRPr="00EE6B23">
        <w:rPr>
          <w:sz w:val="24"/>
          <w:lang w:val="it-IT"/>
        </w:rPr>
        <w:t>GU C 445 del 29.10.2021, pag. 156.</w:t>
      </w:r>
    </w:p>
  </w:footnote>
  <w:footnote w:id="2">
    <w:p w:rsidR="002C7253" w:rsidRPr="00EE6B23" w:rsidRDefault="002C7253" w:rsidP="00EE6B23">
      <w:pPr>
        <w:pStyle w:val="FootnoteText"/>
        <w:ind w:left="567" w:hanging="567"/>
        <w:rPr>
          <w:sz w:val="24"/>
          <w:lang w:val="it-IT"/>
        </w:rPr>
      </w:pPr>
      <w:r w:rsidRPr="00EE6B23">
        <w:rPr>
          <w:rStyle w:val="FootnoteReference"/>
          <w:sz w:val="24"/>
          <w:lang w:val="it-IT"/>
        </w:rPr>
        <w:footnoteRef/>
      </w:r>
      <w:r w:rsidR="00EE6B23" w:rsidRPr="00EE6B23">
        <w:rPr>
          <w:sz w:val="24"/>
          <w:lang w:val="it-IT"/>
        </w:rPr>
        <w:t xml:space="preserve"> </w:t>
      </w:r>
      <w:r w:rsidR="00EE6B23" w:rsidRPr="00EE6B23">
        <w:rPr>
          <w:sz w:val="24"/>
          <w:lang w:val="it-IT"/>
        </w:rPr>
        <w:tab/>
      </w:r>
      <w:r w:rsidRPr="00EE6B23">
        <w:rPr>
          <w:sz w:val="24"/>
          <w:lang w:val="it-IT"/>
        </w:rPr>
        <w:t>GU C 125 del 5.4.2023, pag. 135.</w:t>
      </w:r>
    </w:p>
  </w:footnote>
  <w:footnote w:id="3">
    <w:p w:rsidR="002C7253" w:rsidRPr="00EE6B23" w:rsidRDefault="002C7253" w:rsidP="00EE6B23">
      <w:pPr>
        <w:pStyle w:val="FootnoteText"/>
        <w:ind w:left="567" w:hanging="567"/>
        <w:rPr>
          <w:sz w:val="24"/>
          <w:lang w:val="it-IT"/>
        </w:rPr>
      </w:pPr>
      <w:r w:rsidRPr="00EE6B23">
        <w:rPr>
          <w:rStyle w:val="FootnoteReference"/>
          <w:sz w:val="24"/>
          <w:lang w:val="it-IT"/>
        </w:rPr>
        <w:footnoteRef/>
      </w:r>
      <w:r w:rsidR="00EE6B23" w:rsidRPr="00EE6B23">
        <w:rPr>
          <w:sz w:val="24"/>
          <w:lang w:val="it-IT"/>
        </w:rPr>
        <w:t xml:space="preserve"> </w:t>
      </w:r>
      <w:r w:rsidR="00EE6B23" w:rsidRPr="00EE6B23">
        <w:rPr>
          <w:sz w:val="24"/>
          <w:lang w:val="it-IT"/>
        </w:rPr>
        <w:tab/>
      </w:r>
      <w:r w:rsidRPr="00EE6B23">
        <w:rPr>
          <w:sz w:val="24"/>
          <w:lang w:val="it-IT"/>
        </w:rPr>
        <w:t xml:space="preserve">GU C, C/2024/488, 23.1.2024, ELI: </w:t>
      </w:r>
      <w:hyperlink r:id="rId1" w:history="1">
        <w:r w:rsidRPr="00C3765B">
          <w:rPr>
            <w:rStyle w:val="Hyperlink"/>
            <w:sz w:val="24"/>
            <w:lang w:val="it-IT"/>
          </w:rPr>
          <w:t>http://data.europa.eu/eli/C/2024/488/oj</w:t>
        </w:r>
      </w:hyperlink>
      <w:r w:rsidRPr="00EE6B23">
        <w:rPr>
          <w:sz w:val="24"/>
          <w:lang w:val="it-IT"/>
        </w:rPr>
        <w:t>.</w:t>
      </w:r>
    </w:p>
  </w:footnote>
  <w:footnote w:id="4">
    <w:p w:rsidR="002C7253" w:rsidRPr="00EE6B23" w:rsidRDefault="002C7253" w:rsidP="00EE6B23">
      <w:pPr>
        <w:pStyle w:val="FootnoteText"/>
        <w:ind w:left="567" w:hanging="567"/>
        <w:rPr>
          <w:sz w:val="24"/>
          <w:lang w:val="it-IT"/>
        </w:rPr>
      </w:pPr>
      <w:r w:rsidRPr="00EE6B23">
        <w:rPr>
          <w:rStyle w:val="FootnoteReference"/>
          <w:sz w:val="24"/>
          <w:lang w:val="it-IT"/>
        </w:rPr>
        <w:footnoteRef/>
      </w:r>
      <w:r w:rsidR="00EE6B23" w:rsidRPr="00EE6B23">
        <w:rPr>
          <w:sz w:val="24"/>
          <w:lang w:val="it-IT"/>
        </w:rPr>
        <w:t xml:space="preserve"> </w:t>
      </w:r>
      <w:r w:rsidR="00EE6B23" w:rsidRPr="00EE6B23">
        <w:rPr>
          <w:sz w:val="24"/>
          <w:lang w:val="it-IT"/>
        </w:rPr>
        <w:tab/>
      </w:r>
      <w:r w:rsidRPr="00EE6B23">
        <w:rPr>
          <w:sz w:val="24"/>
          <w:lang w:val="it-IT"/>
        </w:rPr>
        <w:t>Bollettino di Copernicus "</w:t>
      </w:r>
      <w:hyperlink w:anchor=":~:text=The%20average%20temperature%20for%20European%20land%20for%20summer%20(June%2DAugust,2022%20(1.34%C2%B0C)" w:history="1">
        <w:r w:rsidRPr="00EE6B23">
          <w:rPr>
            <w:rStyle w:val="Hyperlink"/>
            <w:sz w:val="24"/>
            <w:lang w:val="it-IT"/>
          </w:rPr>
          <w:t>Summer 2024 – Hottest on record globally and for Europe</w:t>
        </w:r>
      </w:hyperlink>
      <w:r w:rsidRPr="00EE6B23">
        <w:rPr>
          <w:sz w:val="24"/>
          <w:lang w:val="it-IT"/>
        </w:rPr>
        <w:t xml:space="preserve">" (L'estate 2024 è stata la più calda mai registrata nel mondo e in Europa). </w:t>
      </w:r>
    </w:p>
  </w:footnote>
  <w:footnote w:id="5">
    <w:p w:rsidR="002C7253" w:rsidRPr="00EE6B23" w:rsidRDefault="002C7253" w:rsidP="00EE6B23">
      <w:pPr>
        <w:pStyle w:val="FootnoteText"/>
        <w:ind w:left="567" w:hanging="567"/>
        <w:rPr>
          <w:sz w:val="24"/>
          <w:lang w:val="it-IT"/>
        </w:rPr>
      </w:pPr>
      <w:r w:rsidRPr="00EE6B23">
        <w:rPr>
          <w:rStyle w:val="FootnoteReference"/>
          <w:sz w:val="24"/>
          <w:lang w:val="it-IT"/>
        </w:rPr>
        <w:footnoteRef/>
      </w:r>
      <w:r w:rsidR="00EE6B23" w:rsidRPr="00EE6B23">
        <w:rPr>
          <w:sz w:val="24"/>
          <w:lang w:val="it-IT"/>
        </w:rPr>
        <w:t xml:space="preserve"> </w:t>
      </w:r>
      <w:r w:rsidR="00EE6B23" w:rsidRPr="00EE6B23">
        <w:rPr>
          <w:sz w:val="24"/>
          <w:lang w:val="it-IT"/>
        </w:rPr>
        <w:tab/>
      </w:r>
      <w:r w:rsidRPr="00EE6B23">
        <w:rPr>
          <w:sz w:val="24"/>
          <w:lang w:val="it-IT"/>
        </w:rPr>
        <w:t>Valutazione europea dei rischi climatici.</w:t>
      </w:r>
    </w:p>
  </w:footnote>
  <w:footnote w:id="6">
    <w:p w:rsidR="002C7253" w:rsidRPr="00EE6B23" w:rsidRDefault="002C7253" w:rsidP="00EE6B23">
      <w:pPr>
        <w:pStyle w:val="FootnoteText"/>
        <w:ind w:left="567" w:hanging="567"/>
        <w:rPr>
          <w:sz w:val="24"/>
          <w:lang w:val="it-IT"/>
        </w:rPr>
      </w:pPr>
      <w:r w:rsidRPr="00EE6B23">
        <w:rPr>
          <w:rStyle w:val="FootnoteReference"/>
          <w:sz w:val="24"/>
          <w:lang w:val="it-IT"/>
        </w:rPr>
        <w:footnoteRef/>
      </w:r>
      <w:r w:rsidR="00EE6B23" w:rsidRPr="00EE6B23">
        <w:rPr>
          <w:sz w:val="24"/>
          <w:lang w:val="it-IT"/>
        </w:rPr>
        <w:t xml:space="preserve"> </w:t>
      </w:r>
      <w:r w:rsidR="00EE6B23" w:rsidRPr="00EE6B23">
        <w:rPr>
          <w:sz w:val="24"/>
          <w:lang w:val="it-IT"/>
        </w:rPr>
        <w:tab/>
      </w:r>
      <w:r w:rsidRPr="00EE6B23">
        <w:rPr>
          <w:sz w:val="24"/>
          <w:lang w:val="it-IT"/>
        </w:rPr>
        <w:t xml:space="preserve">GU L 135 del 30.5.1991, pag. 40, ELI: </w:t>
      </w:r>
      <w:hyperlink r:id="rId2" w:history="1">
        <w:r w:rsidRPr="00C3765B">
          <w:rPr>
            <w:rStyle w:val="Hyperlink"/>
            <w:sz w:val="24"/>
            <w:lang w:val="it-IT"/>
          </w:rPr>
          <w:t>http://data.europa.eu/eli/dir/1991/271/oj</w:t>
        </w:r>
      </w:hyperlink>
      <w:r w:rsidRPr="00EE6B23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6B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6B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6B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57/2024"/>
    <w:docVar w:name="dvlangue" w:val="IT"/>
    <w:docVar w:name="dvnumam" w:val="0"/>
    <w:docVar w:name="dvpe" w:val="764.075"/>
    <w:docVar w:name="dvtitre" w:val="Risoluzione del Parlamento europeo del 19 settembre 2024 sulle devastanti inondazioni nell'Europa centrale e orientale, la perdita di vite umane e la preparazione dell'UE a intervenire in caso di disastri di questo tipo aggravati dal cambiamento climatico(2024/2817(RSP))"/>
  </w:docVars>
  <w:rsids>
    <w:rsidRoot w:val="00951DD0"/>
    <w:rsid w:val="00002272"/>
    <w:rsid w:val="00064002"/>
    <w:rsid w:val="000677B9"/>
    <w:rsid w:val="000831BA"/>
    <w:rsid w:val="000A42CC"/>
    <w:rsid w:val="000E7DD9"/>
    <w:rsid w:val="0010095E"/>
    <w:rsid w:val="00103811"/>
    <w:rsid w:val="00125B37"/>
    <w:rsid w:val="00187494"/>
    <w:rsid w:val="001F32AE"/>
    <w:rsid w:val="002767FF"/>
    <w:rsid w:val="002B18FE"/>
    <w:rsid w:val="002B5493"/>
    <w:rsid w:val="002C7253"/>
    <w:rsid w:val="00343214"/>
    <w:rsid w:val="00361C00"/>
    <w:rsid w:val="00395FA1"/>
    <w:rsid w:val="003E15D4"/>
    <w:rsid w:val="00411CCE"/>
    <w:rsid w:val="0041666E"/>
    <w:rsid w:val="00421060"/>
    <w:rsid w:val="0047005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0226"/>
    <w:rsid w:val="00881A7B"/>
    <w:rsid w:val="008840E5"/>
    <w:rsid w:val="00887B3E"/>
    <w:rsid w:val="008C2AC6"/>
    <w:rsid w:val="00930C23"/>
    <w:rsid w:val="0093193B"/>
    <w:rsid w:val="009509D8"/>
    <w:rsid w:val="00950B64"/>
    <w:rsid w:val="00951DD0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65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A45"/>
    <w:rsid w:val="00EB4772"/>
    <w:rsid w:val="00ED169E"/>
    <w:rsid w:val="00ED4235"/>
    <w:rsid w:val="00EE6B2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000D0"/>
  <w15:chartTrackingRefBased/>
  <w15:docId w15:val="{F71B8E8F-609E-47E6-8648-14CE4086B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C725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C7253"/>
    <w:pPr>
      <w:spacing w:before="480" w:after="240"/>
    </w:pPr>
  </w:style>
  <w:style w:type="character" w:styleId="Hyperlink">
    <w:name w:val="Hyperlink"/>
    <w:basedOn w:val="DefaultParagraphFont"/>
    <w:unhideWhenUsed/>
    <w:rsid w:val="002C7253"/>
    <w:rPr>
      <w:color w:val="0563C1" w:themeColor="hyperlink"/>
      <w:u w:val="single"/>
    </w:rPr>
  </w:style>
  <w:style w:type="character" w:customStyle="1" w:styleId="EPCommaChar">
    <w:name w:val="EPComma Char"/>
    <w:basedOn w:val="DefaultParagraphFont"/>
    <w:link w:val="EPComma"/>
    <w:rsid w:val="002C7253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dir/1991/271/oj" TargetMode="External"/><Relationship Id="rId1" Type="http://schemas.openxmlformats.org/officeDocument/2006/relationships/hyperlink" Target="http://data.europa.eu/eli/C/2024/4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164EC-E4E3-4299-884B-A641CC818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3814</Words>
  <Characters>22646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corr 16 09</dc:creator>
  <cp:keywords/>
  <cp:lastModifiedBy>anonimo</cp:lastModifiedBy>
  <cp:revision>2</cp:revision>
  <cp:lastPrinted>2004-11-19T15:42:00Z</cp:lastPrinted>
  <dcterms:created xsi:type="dcterms:W3CDTF">2024-10-23T14:16:00Z</dcterms:created>
  <dcterms:modified xsi:type="dcterms:W3CDTF">2024-10-23T14:16:00Z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B10-0057/2024</vt:lpwstr>
  </property>
  <property fmtid="{D5CDD505-2E9C-101B-9397-08002B2CF9AE}" pid="4" name="&lt;Type&gt;">
    <vt:lpwstr>RR</vt:lpwstr>
  </property>
</Properties>
</file>