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277A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277A0" w:rsidRDefault="007B7C87" w:rsidP="0010095E">
            <w:pPr>
              <w:pStyle w:val="EPName"/>
            </w:pPr>
            <w:r w:rsidRPr="005277A0">
              <w:t>Parlament Europejski</w:t>
            </w:r>
          </w:p>
          <w:p w:rsidR="00751A4A" w:rsidRPr="005277A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77A0">
              <w:t>2024</w:t>
            </w:r>
            <w:r w:rsidR="00817416" w:rsidRPr="005277A0">
              <w:t>-202</w:t>
            </w:r>
            <w:r w:rsidRPr="005277A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277A0" w:rsidRDefault="00187494" w:rsidP="0010095E">
            <w:pPr>
              <w:pStyle w:val="EPLogo"/>
            </w:pPr>
            <w:r w:rsidRPr="005277A0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277A0" w:rsidRDefault="00D058B8" w:rsidP="004C5D52">
      <w:pPr>
        <w:pStyle w:val="LineTop"/>
      </w:pPr>
    </w:p>
    <w:p w:rsidR="00680577" w:rsidRPr="005277A0" w:rsidRDefault="007B7C87" w:rsidP="00680577">
      <w:pPr>
        <w:pStyle w:val="EPBodyTA1"/>
      </w:pPr>
      <w:r w:rsidRPr="005277A0">
        <w:t>TEKSTY PRZYJĘTE</w:t>
      </w:r>
    </w:p>
    <w:p w:rsidR="00D058B8" w:rsidRPr="005277A0" w:rsidRDefault="00D058B8" w:rsidP="00D058B8">
      <w:pPr>
        <w:pStyle w:val="LineBottom"/>
      </w:pPr>
    </w:p>
    <w:p w:rsidR="007B7C87" w:rsidRPr="005277A0" w:rsidRDefault="007B7C87" w:rsidP="007B7C87">
      <w:pPr>
        <w:pStyle w:val="ATHeading1"/>
      </w:pPr>
      <w:bookmarkStart w:id="0" w:name="TANumber"/>
      <w:r w:rsidRPr="005277A0">
        <w:t>P10_TA(2024)00</w:t>
      </w:r>
      <w:bookmarkEnd w:id="0"/>
      <w:r w:rsidR="00DC71B3">
        <w:t>14</w:t>
      </w:r>
    </w:p>
    <w:p w:rsidR="007B7C87" w:rsidRPr="005277A0" w:rsidRDefault="007B7C87" w:rsidP="007B7C87">
      <w:pPr>
        <w:pStyle w:val="ATHeading2"/>
      </w:pPr>
      <w:bookmarkStart w:id="1" w:name="title"/>
      <w:r w:rsidRPr="005277A0">
        <w:t>Niszczycielskie powodzie w Europie Środkowej i Wschodniej, ofiary śmiertelne oraz gotowość UE do</w:t>
      </w:r>
    </w:p>
    <w:p w:rsidR="007B7C87" w:rsidRPr="005277A0" w:rsidRDefault="007B7C87" w:rsidP="007B7C87">
      <w:pPr>
        <w:pStyle w:val="ATHeading2"/>
      </w:pPr>
      <w:proofErr w:type="gramStart"/>
      <w:r w:rsidRPr="005277A0">
        <w:t>działania</w:t>
      </w:r>
      <w:proofErr w:type="gramEnd"/>
      <w:r w:rsidRPr="005277A0">
        <w:t xml:space="preserve"> w razie takich klęsk spotęgowanych przez zmianę klimatu</w:t>
      </w:r>
      <w:bookmarkEnd w:id="1"/>
    </w:p>
    <w:p w:rsidR="007B7C87" w:rsidRPr="005277A0" w:rsidRDefault="007B7C87" w:rsidP="007B7C87">
      <w:pPr>
        <w:rPr>
          <w:i/>
          <w:vanish/>
        </w:rPr>
      </w:pPr>
      <w:r w:rsidRPr="005277A0">
        <w:rPr>
          <w:i/>
        </w:rPr>
        <w:fldChar w:fldCharType="begin"/>
      </w:r>
      <w:r w:rsidRPr="005277A0">
        <w:rPr>
          <w:i/>
        </w:rPr>
        <w:instrText xml:space="preserve"> TC"(</w:instrText>
      </w:r>
      <w:bookmarkStart w:id="2" w:name="DocNumber"/>
      <w:r w:rsidR="0095395E" w:rsidRPr="006F6AD6">
        <w:rPr>
          <w:i/>
        </w:rPr>
        <w:instrText>B10-0057</w:instrText>
      </w:r>
      <w:r w:rsidR="0095395E">
        <w:rPr>
          <w:i/>
        </w:rPr>
        <w:instrText>, 0058, 0059, 0060, 0061 oraz 0063</w:instrText>
      </w:r>
      <w:r w:rsidR="0095395E" w:rsidRPr="006F6AD6">
        <w:rPr>
          <w:i/>
        </w:rPr>
        <w:instrText>/2024</w:instrText>
      </w:r>
      <w:bookmarkEnd w:id="2"/>
      <w:r w:rsidRPr="005277A0">
        <w:rPr>
          <w:i/>
        </w:rPr>
        <w:instrText xml:space="preserve">)"\l3 \n&gt; \* MERGEFORMAT </w:instrText>
      </w:r>
      <w:r w:rsidRPr="005277A0">
        <w:rPr>
          <w:i/>
        </w:rPr>
        <w:fldChar w:fldCharType="end"/>
      </w:r>
    </w:p>
    <w:p w:rsidR="007B7C87" w:rsidRPr="005277A0" w:rsidRDefault="007B7C87" w:rsidP="007B7C87">
      <w:pPr>
        <w:rPr>
          <w:vanish/>
        </w:rPr>
      </w:pPr>
      <w:bookmarkStart w:id="3" w:name="PE"/>
      <w:r w:rsidRPr="005277A0">
        <w:rPr>
          <w:vanish/>
        </w:rPr>
        <w:t>PE764.075</w:t>
      </w:r>
      <w:bookmarkEnd w:id="3"/>
    </w:p>
    <w:p w:rsidR="007B7C87" w:rsidRPr="005277A0" w:rsidRDefault="007B7C87" w:rsidP="007B7C87">
      <w:pPr>
        <w:pStyle w:val="ATHeading3"/>
      </w:pPr>
      <w:bookmarkStart w:id="4" w:name="Sujet"/>
      <w:r w:rsidRPr="005277A0">
        <w:t xml:space="preserve">Rezolucja Parlamentu Europejskiego z dnia </w:t>
      </w:r>
      <w:r w:rsidR="0095395E">
        <w:t>19 września</w:t>
      </w:r>
      <w:r w:rsidRPr="005277A0">
        <w:t xml:space="preserve"> 2024 r. w sprawie niszczycielskich powodzi w Europie Środkowej i Wschodniej, ofiar śmiertelnych oraz gotowości UE do działania w razie takich klęsk spotęgowanych przez zmianę klimatu</w:t>
      </w:r>
      <w:bookmarkEnd w:id="4"/>
      <w:r w:rsidRPr="005277A0">
        <w:t xml:space="preserve"> </w:t>
      </w:r>
      <w:bookmarkStart w:id="5" w:name="References"/>
      <w:r w:rsidRPr="005277A0">
        <w:t>(2024/2817(RSP))</w:t>
      </w:r>
      <w:bookmarkEnd w:id="5"/>
    </w:p>
    <w:p w:rsidR="00066AFF" w:rsidRPr="005277A0" w:rsidRDefault="00066AFF" w:rsidP="00066AFF">
      <w:pPr>
        <w:pStyle w:val="EPComma"/>
      </w:pPr>
      <w:bookmarkStart w:id="6" w:name="TextBodyBegin"/>
      <w:bookmarkEnd w:id="6"/>
      <w:r w:rsidRPr="005277A0">
        <w:rPr>
          <w:i/>
          <w:iCs/>
        </w:rPr>
        <w:t>Parlament Europejski</w:t>
      </w:r>
      <w:r w:rsidRPr="005277A0">
        <w:t>,</w:t>
      </w:r>
    </w:p>
    <w:p w:rsidR="00066AFF" w:rsidRPr="005277A0" w:rsidRDefault="00066AFF" w:rsidP="00066AFF">
      <w:pPr>
        <w:pStyle w:val="NormalHanging12a"/>
      </w:pPr>
      <w:r w:rsidRPr="005277A0">
        <w:t>−</w:t>
      </w:r>
      <w:r w:rsidRPr="005277A0">
        <w:tab/>
        <w:t>uwzględniając Ramową konwencję ONZ w sprawie zmian klimatu (UNFCCC), a w szczególności porozumienie paryskie z 2015 r., które weszło w życie 4 listopada 2016 r.,</w:t>
      </w:r>
    </w:p>
    <w:p w:rsidR="00066AFF" w:rsidRPr="005277A0" w:rsidRDefault="00066AFF" w:rsidP="00066AFF">
      <w:pPr>
        <w:pStyle w:val="NormalHanging12a"/>
      </w:pPr>
      <w:r w:rsidRPr="005277A0">
        <w:t>−</w:t>
      </w:r>
      <w:r w:rsidRPr="005277A0">
        <w:tab/>
        <w:t>uwzględniając Konwencję Narodów Zjednoczonych o różnorodności biologicznej,</w:t>
      </w:r>
    </w:p>
    <w:p w:rsidR="00066AFF" w:rsidRPr="005277A0" w:rsidRDefault="00066AFF" w:rsidP="00066AFF">
      <w:pPr>
        <w:pStyle w:val="NormalHanging12a"/>
      </w:pPr>
      <w:r w:rsidRPr="005277A0">
        <w:t>−</w:t>
      </w:r>
      <w:r w:rsidRPr="005277A0">
        <w:tab/>
        <w:t>uwzględniając cele zrównoważonego rozwoju ONZ,</w:t>
      </w:r>
    </w:p>
    <w:p w:rsidR="00066AFF" w:rsidRPr="005277A0" w:rsidRDefault="00066AFF" w:rsidP="00066AFF">
      <w:pPr>
        <w:pStyle w:val="NormalHanging12a"/>
      </w:pPr>
      <w:r w:rsidRPr="005277A0">
        <w:t>−</w:t>
      </w:r>
      <w:r w:rsidRPr="005277A0">
        <w:tab/>
        <w:t>uwzględniając przeprowadzoną w 2019 r. przez Komisję ocenę adekwatności ramowej dyrektywy wodnej, dyrektywy w sprawie ochrony wód podziemnych, dyrektywy w sprawie środowiskowych norm jakości oraz dyrektywy powodziowej (SWD(2019)0439),</w:t>
      </w:r>
    </w:p>
    <w:p w:rsidR="00066AFF" w:rsidRPr="005277A0" w:rsidRDefault="00066AFF" w:rsidP="00066AFF">
      <w:pPr>
        <w:pStyle w:val="NormalHanging12a"/>
      </w:pPr>
      <w:r w:rsidRPr="005277A0">
        <w:t>−</w:t>
      </w:r>
      <w:r w:rsidRPr="005277A0">
        <w:tab/>
        <w:t>uwzględniając komunikat Komisji z 24 lutego 2021 r. pt. „Budując Europę odporną na zmianę klimatu – nowa strategia w zakresie przystosowania do zmiany klimatu” (COM(2021)0082),</w:t>
      </w:r>
    </w:p>
    <w:p w:rsidR="00066AFF" w:rsidRPr="005277A0" w:rsidRDefault="00066AFF" w:rsidP="00066AFF">
      <w:pPr>
        <w:pStyle w:val="NormalHanging12a"/>
      </w:pPr>
      <w:r w:rsidRPr="005277A0">
        <w:t>−</w:t>
      </w:r>
      <w:r w:rsidRPr="005277A0">
        <w:tab/>
        <w:t>uwzględniając rezolucję z dnia 17 grudnia 2020 r. w sprawie strategii UE w zakresie przystosowania się do zmiany klimatu</w:t>
      </w:r>
      <w:r w:rsidRPr="005277A0">
        <w:rPr>
          <w:rStyle w:val="FootnoteReference"/>
        </w:rPr>
        <w:footnoteReference w:id="1"/>
      </w:r>
      <w:r w:rsidRPr="005277A0">
        <w:t>,</w:t>
      </w:r>
    </w:p>
    <w:p w:rsidR="00066AFF" w:rsidRPr="005277A0" w:rsidRDefault="00066AFF" w:rsidP="00066AFF">
      <w:pPr>
        <w:pStyle w:val="NormalHanging12a"/>
      </w:pPr>
      <w:r w:rsidRPr="005277A0">
        <w:t>−</w:t>
      </w:r>
      <w:r w:rsidRPr="005277A0">
        <w:tab/>
        <w:t>uwzględniając wytyczne Komisji z 26 lipca 2023 r. dotyczące strategii i planów państw członkowskich w zakresie przystosowania się do zmiany klimatu,</w:t>
      </w:r>
    </w:p>
    <w:p w:rsidR="00066AFF" w:rsidRPr="005277A0" w:rsidRDefault="00066AFF" w:rsidP="00066AFF">
      <w:pPr>
        <w:pStyle w:val="NormalHanging12a"/>
      </w:pPr>
      <w:r w:rsidRPr="005277A0">
        <w:t>−</w:t>
      </w:r>
      <w:r w:rsidRPr="005277A0">
        <w:tab/>
        <w:t xml:space="preserve">uwzględniając rezolucję z dnia 15 września 2022 r. w sprawie konsekwencji suszy, pożarów i innych ekstremalnych zjawisk pogodowych – zwiększenie starań UE w walce </w:t>
      </w:r>
      <w:r w:rsidRPr="005277A0">
        <w:lastRenderedPageBreak/>
        <w:t>ze zmianą klimatu</w:t>
      </w:r>
      <w:r w:rsidRPr="005277A0">
        <w:rPr>
          <w:rStyle w:val="FootnoteReference"/>
        </w:rPr>
        <w:footnoteReference w:id="2"/>
      </w:r>
      <w:r w:rsidRPr="005277A0">
        <w:t>,</w:t>
      </w:r>
    </w:p>
    <w:p w:rsidR="00066AFF" w:rsidRPr="005277A0" w:rsidRDefault="00066AFF" w:rsidP="00066AFF">
      <w:pPr>
        <w:pStyle w:val="NormalHanging12a"/>
      </w:pPr>
      <w:r w:rsidRPr="005277A0">
        <w:t>−</w:t>
      </w:r>
      <w:r w:rsidRPr="005277A0">
        <w:tab/>
        <w:t>uwzględniając swoją rezolucję z dnia 15 czerwca 2023 r. w sprawie Europejskiego Dnia Ofiar Światowego Kryzysu Klimatycznego</w:t>
      </w:r>
      <w:r w:rsidRPr="005277A0">
        <w:rPr>
          <w:rStyle w:val="FootnoteReference"/>
        </w:rPr>
        <w:footnoteReference w:id="3"/>
      </w:r>
      <w:r w:rsidRPr="005277A0">
        <w:t>,</w:t>
      </w:r>
    </w:p>
    <w:p w:rsidR="00066AFF" w:rsidRPr="005277A0" w:rsidRDefault="00066AFF" w:rsidP="00066AFF">
      <w:pPr>
        <w:pStyle w:val="NormalHanging12a"/>
      </w:pPr>
      <w:r w:rsidRPr="005277A0">
        <w:t>−</w:t>
      </w:r>
      <w:r w:rsidRPr="005277A0">
        <w:tab/>
        <w:t>uwzględniając sprawozdanie Europejskiej Agencji Środowiska (EEA) nr 1/2024 z 11 marca 2024 r. pt. „Europejska ocena ryzyka związanego z klimatem”,</w:t>
      </w:r>
    </w:p>
    <w:p w:rsidR="00066AFF" w:rsidRPr="005277A0" w:rsidRDefault="00066AFF" w:rsidP="00066AFF">
      <w:pPr>
        <w:pStyle w:val="NormalHanging12a"/>
      </w:pPr>
      <w:r w:rsidRPr="005277A0">
        <w:t>−</w:t>
      </w:r>
      <w:r w:rsidRPr="005277A0">
        <w:tab/>
        <w:t>uwzględniając komunikat Komisji z 12 marca 2024 r. pt. „Zarządzanie ryzykiem klimatycznym – ochrona obywateli i dobrobytu” (COM(2024)0091),</w:t>
      </w:r>
    </w:p>
    <w:p w:rsidR="00066AFF" w:rsidRPr="005277A0" w:rsidRDefault="00066AFF" w:rsidP="00066AFF">
      <w:pPr>
        <w:pStyle w:val="NormalHanging12a"/>
      </w:pPr>
      <w:r w:rsidRPr="005277A0">
        <w:t>−</w:t>
      </w:r>
      <w:r w:rsidRPr="005277A0">
        <w:tab/>
        <w:t xml:space="preserve">uwzględniając sprawozdanie </w:t>
      </w:r>
      <w:bookmarkStart w:id="7" w:name="_GoBack"/>
      <w:r w:rsidRPr="005277A0">
        <w:t>EEA</w:t>
      </w:r>
      <w:bookmarkEnd w:id="7"/>
      <w:r w:rsidRPr="005277A0">
        <w:t xml:space="preserve"> nr 3/2024 z 15 maja 2024 r. pt. „Responding to climate change impacts on human health in Europe: focus on floods, droughts and water quality” [Reagowanie na wpływ zmiany klimatu na zdrowie ludzi w Europie – powodzie, susze i jakość wody w centrum uwagi],</w:t>
      </w:r>
    </w:p>
    <w:p w:rsidR="00066AFF" w:rsidRPr="005277A0" w:rsidRDefault="00066AFF" w:rsidP="00066AFF">
      <w:pPr>
        <w:pStyle w:val="NormalHanging12a"/>
      </w:pPr>
      <w:r w:rsidRPr="005277A0">
        <w:t>−</w:t>
      </w:r>
      <w:r w:rsidRPr="005277A0">
        <w:tab/>
        <w:t>uwzględniając sprawozdanie końcowe z dialogu na temat odporności, opublikowane w lipcu 2024 r.,</w:t>
      </w:r>
    </w:p>
    <w:p w:rsidR="00066AFF" w:rsidRPr="005277A0" w:rsidRDefault="00066AFF" w:rsidP="00066AFF">
      <w:pPr>
        <w:pStyle w:val="NormalHanging12a"/>
      </w:pPr>
      <w:r w:rsidRPr="005277A0">
        <w:t>−</w:t>
      </w:r>
      <w:r w:rsidRPr="005277A0">
        <w:tab/>
        <w:t>uwzględniając komunikat Komisji z 29 maja 2024 r. w sprawie oceny Unijnego Mechanizmu Ochrony Ludności – wzmacnianie gotowości Unii na wypadek sytuacji wyjątkowej (COM(2024)</w:t>
      </w:r>
      <w:r w:rsidR="000F0382">
        <w:t>0</w:t>
      </w:r>
      <w:r w:rsidRPr="005277A0">
        <w:t>212),</w:t>
      </w:r>
    </w:p>
    <w:p w:rsidR="00066AFF" w:rsidRPr="005277A0" w:rsidRDefault="00066AFF" w:rsidP="00066AFF">
      <w:pPr>
        <w:pStyle w:val="NormalHanging12a"/>
      </w:pPr>
      <w:r w:rsidRPr="005277A0">
        <w:t>−</w:t>
      </w:r>
      <w:r w:rsidRPr="005277A0">
        <w:tab/>
        <w:t>uwzględniając oświadczenie Komisji z 18 września 2024 r. pt. „Niszczycielskie powodzie w Europie Środkowej i Wschodniej, ofiary śmiertelne oraz gotowość UE do działania w razie takich klęsk spotęgowanych przez zmianę klimatu”,</w:t>
      </w:r>
    </w:p>
    <w:p w:rsidR="00066AFF" w:rsidRPr="005277A0" w:rsidRDefault="00066AFF" w:rsidP="00066AFF">
      <w:pPr>
        <w:pStyle w:val="NormalHanging12a"/>
      </w:pPr>
      <w:r w:rsidRPr="005277A0">
        <w:t>–</w:t>
      </w:r>
      <w:r w:rsidRPr="005277A0">
        <w:tab/>
        <w:t>uwzględniając art. 136 ust. 2 i 4 Regulaminu,</w:t>
      </w:r>
    </w:p>
    <w:p w:rsidR="00066AFF" w:rsidRPr="005277A0" w:rsidRDefault="00066AFF" w:rsidP="00066AFF">
      <w:pPr>
        <w:pStyle w:val="NormalHanging12a"/>
      </w:pPr>
      <w:r w:rsidRPr="005277A0">
        <w:t>A.</w:t>
      </w:r>
      <w:r w:rsidRPr="005277A0">
        <w:tab/>
      </w:r>
      <w:proofErr w:type="gramStart"/>
      <w:r w:rsidRPr="005277A0">
        <w:t>mając</w:t>
      </w:r>
      <w:proofErr w:type="gramEnd"/>
      <w:r w:rsidRPr="005277A0">
        <w:t xml:space="preserve"> na uwadze, że ulewne deszcze i silne wiatry dramatycznie wpłynęły na Europę Środkową i Wschodnią, w szczególności Austrię, Czechy, Niemcy, Polskę, Rumunię, Słowację i Węgry, powodując powodzie, które doprowadziły do ofiar śmiertelnych i szkód na dużą skalę; mając na uwadze, że ucierpiała znaczna część terytoriów tych krajów, zwłaszcza regiony słabiej rozwinięte mające gorszą infrastrukturę oraz regiony rolnicze;</w:t>
      </w:r>
    </w:p>
    <w:p w:rsidR="00066AFF" w:rsidRPr="005277A0" w:rsidRDefault="00066AFF" w:rsidP="00066AFF">
      <w:pPr>
        <w:pStyle w:val="NormalHanging12a"/>
      </w:pPr>
      <w:r w:rsidRPr="005277A0">
        <w:t>B.</w:t>
      </w:r>
      <w:r w:rsidRPr="005277A0">
        <w:tab/>
        <w:t>mając na uwadze, że nie można wskazać konkretnych przyczyn poszczególnych ekstremalnych zdarzeń pogodowych; mając na uwadze, że według Międzyrządowego Zespołu ds. Zmian Klimatu i zgodnie z Europejską oceną ryzyka związanego z klimatem (EUCRA) kryzys klimatyczny prowadzi do częstszych i intensywniejszych ekstremalnych zdarzeń pogodowych, takich jak powodzie, burze i fale upałów, przez co opady i burze są gwałtowniejsze, fale upałów bardziej uciążliwe, a susze groźniejsze;</w:t>
      </w:r>
    </w:p>
    <w:p w:rsidR="00066AFF" w:rsidRPr="005277A0" w:rsidRDefault="00066AFF" w:rsidP="00066AFF">
      <w:pPr>
        <w:pStyle w:val="NormalHanging12a"/>
      </w:pPr>
      <w:r w:rsidRPr="005277A0">
        <w:t>C.</w:t>
      </w:r>
      <w:r w:rsidRPr="005277A0">
        <w:tab/>
      </w:r>
      <w:proofErr w:type="gramStart"/>
      <w:r w:rsidRPr="005277A0">
        <w:t>mając</w:t>
      </w:r>
      <w:proofErr w:type="gramEnd"/>
      <w:r w:rsidRPr="005277A0">
        <w:t xml:space="preserve"> na uwadze, że w pierwszej ocenie EUCRA oraz w komunikacie Komisji pt. „Zarządzanie ryzykiem klimatycznym – ochrona obywateli i dobrobytu” zauważono, że Europa jest najszybciej ocieplającym się kontynentem na świecie, a ekstremalne zjawiska, takie jak pożary, susze i powodzie, występują w Europie coraz częściej w wyniku zmiany klimatu; mając na uwadze, że latem 2024 r. średnia temperatura w Europie była rekordowo wysoka i przewyższyła o 1,54 °C średnią temperaturę z lat </w:t>
      </w:r>
      <w:r w:rsidRPr="005277A0">
        <w:lastRenderedPageBreak/>
        <w:t>1991–2020 oraz pobiła poprzedni rekord z 2022 r.</w:t>
      </w:r>
      <w:r w:rsidRPr="005277A0">
        <w:rPr>
          <w:rStyle w:val="FootnoteReference"/>
          <w:color w:val="000000"/>
          <w:szCs w:val="24"/>
        </w:rPr>
        <w:footnoteReference w:id="4"/>
      </w:r>
      <w:r w:rsidRPr="005277A0">
        <w:t>; mając na uwadze, że był to 14-miesięczny okres, w którym średnia globalna temperatura powietrza przy powierzchni przekroczyła poziom sprzed epoki przemysłowej o 1,5 °C;</w:t>
      </w:r>
    </w:p>
    <w:p w:rsidR="00066AFF" w:rsidRPr="005277A0" w:rsidRDefault="00066AFF" w:rsidP="00066AFF">
      <w:pPr>
        <w:pStyle w:val="NormalHanging12a"/>
      </w:pPr>
      <w:r w:rsidRPr="005277A0">
        <w:t>D.</w:t>
      </w:r>
      <w:r w:rsidRPr="005277A0">
        <w:tab/>
      </w:r>
      <w:proofErr w:type="gramStart"/>
      <w:r w:rsidRPr="005277A0">
        <w:t>mając</w:t>
      </w:r>
      <w:proofErr w:type="gramEnd"/>
      <w:r w:rsidRPr="005277A0">
        <w:t xml:space="preserve"> na uwadze, że tylko w ciągu ostatnich 30 lat powodzie w całej Europie dotknęły 5,5 mln osób, pochłaniając prawie 3 000 ofiar śmiertelnych i powodując straty gospodarcze o wartości ponad 170 mld EUR; mając na uwadze, że zmiana klimatu znacznie zwiększa ryzyko powodziowe w całej Europie</w:t>
      </w:r>
      <w:r w:rsidRPr="005277A0">
        <w:rPr>
          <w:rStyle w:val="FootnoteReference"/>
          <w:color w:val="000000"/>
          <w:szCs w:val="24"/>
        </w:rPr>
        <w:footnoteReference w:id="5"/>
      </w:r>
      <w:r w:rsidRPr="005277A0">
        <w:t>;</w:t>
      </w:r>
    </w:p>
    <w:p w:rsidR="00066AFF" w:rsidRPr="005277A0" w:rsidRDefault="00066AFF" w:rsidP="00066AFF">
      <w:pPr>
        <w:pStyle w:val="NormalHanging12a"/>
      </w:pPr>
      <w:r w:rsidRPr="005277A0">
        <w:t>E.</w:t>
      </w:r>
      <w:r w:rsidRPr="005277A0">
        <w:tab/>
      </w:r>
      <w:proofErr w:type="gramStart"/>
      <w:r w:rsidRPr="005277A0">
        <w:t>mając</w:t>
      </w:r>
      <w:proofErr w:type="gramEnd"/>
      <w:r w:rsidRPr="005277A0">
        <w:t xml:space="preserve"> na uwadze, że w niektórych częściach dotkniętych regionów Europy Środkowej i Wschodniej w ciągu zaledwie czterech dni spadło trzy czwarte średnich rocznych opadów; mając na uwadze, że skuteczna i skoordynowana współpraca między służbami ratunkowymi oraz szybka transgraniczna wymiana zasobów i wiedzy fachowej pozwoliły uratować życie wielu osób i zapobiec jeszcze poważniejszym stratom; mając na uwadze, że kluczem do skutecznej pomocy w sytuacjach klęsk żywiołowych jest koordynacja na szczeblu UE, łączenie zasobów i wymiana najlepszych praktyk;</w:t>
      </w:r>
    </w:p>
    <w:p w:rsidR="00066AFF" w:rsidRPr="005277A0" w:rsidRDefault="00066AFF" w:rsidP="00066AFF">
      <w:pPr>
        <w:pStyle w:val="NormalHanging12a"/>
      </w:pPr>
      <w:r w:rsidRPr="005277A0">
        <w:t>F.</w:t>
      </w:r>
      <w:r w:rsidRPr="005277A0">
        <w:tab/>
      </w:r>
      <w:proofErr w:type="gramStart"/>
      <w:r w:rsidRPr="005277A0">
        <w:t>mając</w:t>
      </w:r>
      <w:proofErr w:type="gramEnd"/>
      <w:r w:rsidRPr="005277A0">
        <w:t xml:space="preserve"> na uwadze, że podczas powodzi we wrześniu 2024 r. kilka państw członkowskich (Niemcy, Polska, Słowacja, Rumunia i Węgry) uruchomiło usługi szybkiej kartografii satelitarnej w ramach programu Copernicus;</w:t>
      </w:r>
    </w:p>
    <w:p w:rsidR="00066AFF" w:rsidRPr="005277A0" w:rsidRDefault="00066AFF" w:rsidP="00066AFF">
      <w:pPr>
        <w:pStyle w:val="NormalHanging12a"/>
      </w:pPr>
      <w:r w:rsidRPr="005277A0">
        <w:t>G.</w:t>
      </w:r>
      <w:r w:rsidRPr="005277A0">
        <w:tab/>
        <w:t xml:space="preserve">mając na uwadze, że w komunikacie Komisji z 2024 r. zawierającym ocenę Unijnego Mechanizmu Ochrony Ludności (UMOL) określono potrzeby i wyzwania stojące przed ochroną ludności w Europie oraz przedstawiono zalecenia dotyczące poprawy skuteczności tego mechanizmu; mając na uwadze, że podkreślono w nim również coraz bardziej złożone i zróżnicowane wyzwania i zagrożenia, przed którymi stoi UE i które obejmują rosnącą liczbę konfliktów oraz katastrof spowodowanych przez człowieka, jak i klęsk żywiołowych, takich jak ekstremalne zdarzenia pogodowe oraz zmieniające się zagrożenia dla bezpieczeństwa, a także ukazano w nim, w jaki sposób zmiany te stanowią znaczne obciążenie dla unijnych ram zarządzania ryzykiem związanym </w:t>
      </w:r>
      <w:proofErr w:type="gramStart"/>
      <w:r w:rsidRPr="005277A0">
        <w:t>z</w:t>
      </w:r>
      <w:proofErr w:type="gramEnd"/>
      <w:r w:rsidRPr="005277A0">
        <w:t xml:space="preserve"> klęskami żywiołowymi i dla skuteczności operacyjnej UMOL;</w:t>
      </w:r>
    </w:p>
    <w:p w:rsidR="00066AFF" w:rsidRPr="005277A0" w:rsidRDefault="00066AFF" w:rsidP="00066AFF">
      <w:pPr>
        <w:pStyle w:val="NormalHanging12a"/>
      </w:pPr>
      <w:r w:rsidRPr="005277A0">
        <w:t>H.</w:t>
      </w:r>
      <w:r w:rsidRPr="005277A0">
        <w:tab/>
      </w:r>
      <w:proofErr w:type="gramStart"/>
      <w:r w:rsidRPr="005277A0">
        <w:t>mając</w:t>
      </w:r>
      <w:proofErr w:type="gramEnd"/>
      <w:r w:rsidRPr="005277A0">
        <w:t xml:space="preserve"> na uwadze, że Fundusz Solidarności Unii Europejskiej (FSUE) powstał w następstwie tzw. powodzi tysiąclecia, które nawiedziły ten sam region w roku 1997 i 2002; mając na uwadze, że nawet po przeglądzie wieloletnich ram finansowych budżet FSUE jest nadal niewystarczający, aby odpowiednio reagować na poważne klęski żywiołowe i wyrażać europejską solidarność z regionami dotkniętymi klęskami żywiołowymi;</w:t>
      </w:r>
    </w:p>
    <w:p w:rsidR="00066AFF" w:rsidRPr="005277A0" w:rsidRDefault="00066AFF" w:rsidP="00066AFF">
      <w:pPr>
        <w:pStyle w:val="NormalHanging12a"/>
      </w:pPr>
      <w:r w:rsidRPr="005277A0">
        <w:t>I.</w:t>
      </w:r>
      <w:r w:rsidRPr="005277A0">
        <w:tab/>
      </w:r>
      <w:proofErr w:type="gramStart"/>
      <w:r w:rsidRPr="005277A0">
        <w:t>mając</w:t>
      </w:r>
      <w:proofErr w:type="gramEnd"/>
      <w:r w:rsidRPr="005277A0">
        <w:t xml:space="preserve"> na uwadze, że klęski żywiołowe mają negatywny długoterminowy wpływ na spójność gospodarczą, społeczną i terytorialną na różnych obszarach oraz w różnych regionach i państwach członkowskich UE;</w:t>
      </w:r>
    </w:p>
    <w:p w:rsidR="00066AFF" w:rsidRPr="005277A0" w:rsidRDefault="00066AFF" w:rsidP="00066AFF">
      <w:pPr>
        <w:pStyle w:val="NormalHanging12a"/>
      </w:pPr>
      <w:r w:rsidRPr="005277A0">
        <w:t>J.</w:t>
      </w:r>
      <w:r w:rsidRPr="005277A0">
        <w:tab/>
        <w:t>mając na uwadze, że względu na koncentrację na regionach, podejście ukierunkowane terytorialnie, planowanie strategiczne i skuteczny model wdrażania polityka spójności powinna odgrywać kluczową rolę w zapobieganiu klęskom żywiołowym, usuwaniu skutków wstrząsów symetrycznych i asymetrycznych oraz walce ze zmianą klimatu;</w:t>
      </w:r>
      <w:r w:rsidR="00DC71B3">
        <w:t xml:space="preserve"> </w:t>
      </w:r>
      <w:r w:rsidR="00DC71B3" w:rsidRPr="00DC71B3">
        <w:lastRenderedPageBreak/>
        <w:t>mając na uwadze, że w celu skutecznego sprostania tym wyzwaniom konieczne jest, aby w przyszłych WRF uznano kluczową rolę polityki spójności, zapewniając odpowiedni budżet.</w:t>
      </w:r>
    </w:p>
    <w:p w:rsidR="00066AFF" w:rsidRPr="005277A0" w:rsidRDefault="00066AFF" w:rsidP="00066AFF">
      <w:pPr>
        <w:pStyle w:val="NormalHanging12a"/>
      </w:pPr>
      <w:r w:rsidRPr="005277A0">
        <w:t>K.</w:t>
      </w:r>
      <w:r w:rsidRPr="005277A0">
        <w:tab/>
        <w:t>mając na uwadze, że rozwiązania oparte na zasobach przyrody mają zasadnicze znaczenie dla zapobiegania katastrofom związanym z warunkami pogodowymi spowodowanymi zmianą klimatu; mając na uwadze, że równiny zalewowe, zdrowe lasy, gleby, wrzosowiska, tereny podmokłe, torfowiska, a także naturalne tereny zielone na obszarach miejskich i wiejskich działają jak bufory przeciwko skutkom zmiany klimatu, ponieważ zatrzymują wodę i łagodzą skutki powodzi i susz;</w:t>
      </w:r>
    </w:p>
    <w:p w:rsidR="00066AFF" w:rsidRPr="005277A0" w:rsidRDefault="00066AFF" w:rsidP="00066AFF">
      <w:pPr>
        <w:pStyle w:val="NormalHanging12a"/>
      </w:pPr>
      <w:r w:rsidRPr="005277A0">
        <w:t>L.</w:t>
      </w:r>
      <w:r w:rsidRPr="005277A0">
        <w:tab/>
      </w:r>
      <w:proofErr w:type="gramStart"/>
      <w:r w:rsidRPr="005277A0">
        <w:t>mając</w:t>
      </w:r>
      <w:proofErr w:type="gramEnd"/>
      <w:r w:rsidRPr="005277A0">
        <w:t xml:space="preserve"> na uwadze, że prowadzenie badań nad ryzykiem powodziowym i przeciwdziałanie powodziom wymaga podejścia holistycznego, które uwzględnia różne czynniki, w tym przemysł, transport, praktyki ubezpieczeniowe, gospodarowanie gruntami, historycznie uzasadnione położenie równin zalewowych, zmiany demograficzne, odpowiedzialność finansową i inne istotne aspekty; mając na uwadze, że EEA zwróciła uwagę, iż najsłabsze grupy i regiony bardziej cierpią wskutek powodzi i innych ekstremalnych zjawisk pogodowych;</w:t>
      </w:r>
    </w:p>
    <w:p w:rsidR="00066AFF" w:rsidRPr="005277A0" w:rsidRDefault="00066AFF" w:rsidP="00066AFF">
      <w:pPr>
        <w:pStyle w:val="NormalHanging12a"/>
        <w:rPr>
          <w:b/>
          <w:bCs/>
          <w:i/>
          <w:szCs w:val="24"/>
        </w:rPr>
      </w:pPr>
      <w:r w:rsidRPr="005277A0">
        <w:rPr>
          <w:b/>
          <w:i/>
        </w:rPr>
        <w:t>Uwagi ogólne</w:t>
      </w:r>
    </w:p>
    <w:p w:rsidR="00066AFF" w:rsidRPr="005277A0" w:rsidRDefault="00066AFF" w:rsidP="00066AFF">
      <w:pPr>
        <w:pStyle w:val="NormalHanging12a"/>
      </w:pPr>
      <w:r w:rsidRPr="005277A0">
        <w:t>1.</w:t>
      </w:r>
      <w:r w:rsidRPr="005277A0">
        <w:tab/>
      </w:r>
      <w:proofErr w:type="gramStart"/>
      <w:r w:rsidRPr="005277A0">
        <w:t>wyraża</w:t>
      </w:r>
      <w:proofErr w:type="gramEnd"/>
      <w:r w:rsidRPr="005277A0">
        <w:t xml:space="preserve"> głębokie współczucie i solidarność z ofiarami, ich rodzinami oraz ludźmi i społecznościami dotkniętymi trwającymi ekstremalnymi zdarzeniami pogodowymi i poważnymi powodziami w Europie Środkowo-Wschodniej, w tym w Austrii, Czechach, Niemczech, Polsce, Rumunii oraz na Słowacji i na Węgrzech;</w:t>
      </w:r>
    </w:p>
    <w:p w:rsidR="00066AFF" w:rsidRPr="005277A0" w:rsidRDefault="00066AFF" w:rsidP="00066AFF">
      <w:pPr>
        <w:pStyle w:val="NormalHanging12a"/>
      </w:pPr>
      <w:r w:rsidRPr="005277A0">
        <w:t>2.</w:t>
      </w:r>
      <w:r w:rsidRPr="005277A0">
        <w:tab/>
      </w:r>
      <w:proofErr w:type="gramStart"/>
      <w:r w:rsidRPr="005277A0">
        <w:t>pochwala</w:t>
      </w:r>
      <w:proofErr w:type="gramEnd"/>
      <w:r w:rsidRPr="005277A0">
        <w:t xml:space="preserve"> niestrudzone wysiłki i ogromne zaangażowanie zawodowych i ochotniczych oddziałów straży pożarnej, organizacji ratowniczych, wolontariuszy i wojska w krajach dotkniętych powodziami i innymi klęskami żywiołowymi w całej Europie, a także organów krajowych, regionalnych i lokalnych oraz obywateli, którzy ryzykują życie, aby ratować innych oraz chronić domy i infrastrukturę; podkreśla, że służby ratunkowe odgrywają kluczową rolę w ratowaniu osób, ewakuacji obszarów zagrożonych i ochronie mienia w często trudnych warunkach oraz że ich niestrudzone wysiłki i gotowość do działania, nawet z narażeniem własnego życia, przyczyniają się istotnie do ograniczenia skutków klęski żywiołowej;</w:t>
      </w:r>
    </w:p>
    <w:p w:rsidR="00066AFF" w:rsidRPr="005277A0" w:rsidRDefault="00066AFF" w:rsidP="00066AFF">
      <w:pPr>
        <w:pStyle w:val="NormalHanging12a"/>
      </w:pPr>
      <w:r w:rsidRPr="005277A0">
        <w:t>3.</w:t>
      </w:r>
      <w:r w:rsidRPr="005277A0">
        <w:tab/>
      </w:r>
      <w:proofErr w:type="gramStart"/>
      <w:r w:rsidRPr="005277A0">
        <w:t>wyraża</w:t>
      </w:r>
      <w:proofErr w:type="gramEnd"/>
      <w:r w:rsidRPr="005277A0">
        <w:t xml:space="preserve"> głębokie zaniepokojenie coraz większą intensywnością i częstotliwością ekstremalnych zdarzeń pogodowych w UE i na świecie, w tym ekstremalnych opadów, powodzi o dużym zasięgu oraz fal upałów i pożarów, a także ich poważnymi i bezpośrednimi skutkami dla zdrowia ludzi i zwierząt, źródeł utrzymania, domów i mieszkań, infrastruktury, gospodarki, rolnictwa, bezpieczeństwa żywnościowego i ekosystemów; podkreśla związek między zmianą klimatu a ekstremalnymi zdarzeniami pogodowymi i podkreśla, jak ważne jest zajęcie się tym powiązaniem w skuteczny i spójny sposób poprzez wzmocnienie zbiorowej reakcji na szczeblu unijnym i międzynarodowym za pomocą skutecznych środków ochrony ludności oraz przystosowania się do zmiany klimatu i łagodzenia jej </w:t>
      </w:r>
      <w:proofErr w:type="gramStart"/>
      <w:r w:rsidRPr="005277A0">
        <w:t>skutków</w:t>
      </w:r>
      <w:proofErr w:type="gramEnd"/>
      <w:r w:rsidRPr="005277A0">
        <w:t>, aby chronić ludzi, ich źródła utrzymania, gospodarkę i ekosystemy;</w:t>
      </w:r>
    </w:p>
    <w:p w:rsidR="00066AFF" w:rsidRPr="005277A0" w:rsidRDefault="00066AFF" w:rsidP="00066AFF">
      <w:pPr>
        <w:pStyle w:val="NormalHanging12a"/>
      </w:pPr>
      <w:r w:rsidRPr="005277A0">
        <w:t>4.</w:t>
      </w:r>
      <w:r w:rsidRPr="005277A0">
        <w:tab/>
      </w:r>
      <w:proofErr w:type="gramStart"/>
      <w:r w:rsidRPr="005277A0">
        <w:t>podkreśla</w:t>
      </w:r>
      <w:proofErr w:type="gramEnd"/>
      <w:r w:rsidRPr="005277A0">
        <w:t xml:space="preserve">, że utrzymanie możliwości realizacji długoterminowego celu porozumienia paryskiego wymaga wspólnego wysiłku i dalszych działań ze strony wszystkich zaangażowanych państw; wzywa wszystkie strony Ramowej konwencji Narodów </w:t>
      </w:r>
      <w:r w:rsidRPr="005277A0">
        <w:lastRenderedPageBreak/>
        <w:t>Zjednoczonych w sprawie zmian klimatu, w tym UE, do podjęcia działań następczych w związku z globalnymi wysiłkami uzgodnionymi w decyzji dotyczącej globalnego przeglądu poprzez ambitne wdrożenie i zwiększenie ustalonych na szczeblu krajowym wkładów zgodnie z długoterminowym celem porozumienia paryskiego; przypomina, że zgodnie z Europejskim prawem o klimacie UE musi kontynuować wysiłki na rzecz łagodzenia zmiany klimatu, aby osiągnąć ten długoterminowy cel, oraz na rzecz przystosowania się do zmiany klimatu w celu zwiększenia odporności;</w:t>
      </w:r>
    </w:p>
    <w:p w:rsidR="00066AFF" w:rsidRPr="005277A0" w:rsidRDefault="00066AFF" w:rsidP="00066AFF">
      <w:pPr>
        <w:pStyle w:val="NormalHanging12a"/>
        <w:rPr>
          <w:b/>
          <w:i/>
          <w:szCs w:val="24"/>
        </w:rPr>
      </w:pPr>
      <w:r w:rsidRPr="005277A0">
        <w:rPr>
          <w:b/>
          <w:i/>
        </w:rPr>
        <w:t>Ochrona ludności i finansowanie pomocy w przypadku klęsk żywiołowych</w:t>
      </w:r>
    </w:p>
    <w:p w:rsidR="00066AFF" w:rsidRPr="005277A0" w:rsidRDefault="00066AFF" w:rsidP="00066AFF">
      <w:pPr>
        <w:pStyle w:val="NormalHanging12a"/>
        <w:rPr>
          <w:szCs w:val="24"/>
        </w:rPr>
      </w:pPr>
      <w:r w:rsidRPr="005277A0">
        <w:rPr>
          <w:i/>
        </w:rPr>
        <w:t>Ochrona ludności</w:t>
      </w:r>
    </w:p>
    <w:p w:rsidR="00066AFF" w:rsidRPr="005277A0" w:rsidRDefault="00066AFF" w:rsidP="00066AFF">
      <w:pPr>
        <w:pStyle w:val="NormalHanging12a"/>
      </w:pPr>
      <w:r w:rsidRPr="005277A0">
        <w:t>5.</w:t>
      </w:r>
      <w:r w:rsidRPr="005277A0">
        <w:tab/>
      </w:r>
      <w:proofErr w:type="gramStart"/>
      <w:r w:rsidRPr="005277A0">
        <w:t>zwraca</w:t>
      </w:r>
      <w:proofErr w:type="gramEnd"/>
      <w:r w:rsidRPr="005277A0">
        <w:t xml:space="preserve"> się do Komisji i państw członkowskich, aby były w gotowości do niezwłocznego wsparcia każdego państwa członkowskiego, które zwraca się o pomoc w sytuacjach nadzwyczajnych w ramach UMOL; z zadowoleniem przyjmuje propozycję rządu Ukrainy, aby wesprzeć UE poprzez wysłanie służb ratunkowych i sprzętu;</w:t>
      </w:r>
    </w:p>
    <w:p w:rsidR="00066AFF" w:rsidRPr="005277A0" w:rsidRDefault="00066AFF" w:rsidP="00066AFF">
      <w:pPr>
        <w:pStyle w:val="NormalHanging12a"/>
      </w:pPr>
      <w:r w:rsidRPr="005277A0">
        <w:t>6.</w:t>
      </w:r>
      <w:r w:rsidRPr="005277A0">
        <w:tab/>
      </w:r>
      <w:proofErr w:type="gramStart"/>
      <w:r w:rsidRPr="005277A0">
        <w:t>podkreśla</w:t>
      </w:r>
      <w:proofErr w:type="gramEnd"/>
      <w:r w:rsidRPr="005277A0">
        <w:t>, że UMOL należy wyposażyć w wystarczające i zmodernizowane zasoby w celu zwiększenia gotowości i poprawy budowania zdolności; w związku z tym ubolewa z powodu cięć budżetowych w wysokości 37 mln EUR (w środkach na zobowiązania) i 154,9 mln EUR (w środkach na płatności) na rzecz UMOL (rescEU); wzywa do przyznania dodatkowych środków na odpowiednie linie budżetowe w kolejnych wieloletnich ramach finansowych; wzywa Komisję do rozważenia włączenia kwestii ograniczania ryzyka związanego z klęskami żywiołowymi i zarządzania nim do odpowiednich unijnych programów finansowania, gdyż wszystkie środki wydatkowane w tym obszarze zapobiegną znacznym wydatkom na reagowanie i odbudowę;</w:t>
      </w:r>
    </w:p>
    <w:p w:rsidR="00066AFF" w:rsidRPr="005277A0" w:rsidRDefault="00066AFF" w:rsidP="00066AFF">
      <w:pPr>
        <w:pStyle w:val="NormalHanging12a"/>
      </w:pPr>
      <w:r w:rsidRPr="005277A0">
        <w:t>7.</w:t>
      </w:r>
      <w:r w:rsidRPr="005277A0">
        <w:tab/>
      </w:r>
      <w:proofErr w:type="gramStart"/>
      <w:r w:rsidRPr="005277A0">
        <w:t>wzywa</w:t>
      </w:r>
      <w:proofErr w:type="gramEnd"/>
      <w:r w:rsidRPr="005277A0">
        <w:t xml:space="preserve"> Komisję do podjęcia działań następczych w związku z zaleceniami zawartymi w komunikacie z 29 maja 2024 r. oraz do przedstawienia konkretnych propozycji wzmocnienia zdolności reagowania operacyjnego UMOL; wzywa Komisję do szybkiego zakończenia planowanego przeglądu UMOL i jego Centrum Koordynacji Reagowania Kryzysowego w pierwszym roku nowego mandatu Komisji oraz do przedstawienia konkretnych środków służących dalszemu wzmacnianiu i rozwijaniu wspólnej zdolności Unii do reagowania na klęski żywiołowe, takich jak utworzenie unijnych sił ochrony ludności odpowiedzialnych za strategiczne zapasy żywności, wody, leków i sprzętu medycznego, wspieranie wdrażania mobilnych narzędzi wczesnego ostrzegania dla obywateli, wspólne udzielanie nowych zamówień publicznych na potrzeby modernizacji zasobów ochrony ludności </w:t>
      </w:r>
      <w:proofErr w:type="gramStart"/>
      <w:r w:rsidRPr="005277A0">
        <w:t>oraz</w:t>
      </w:r>
      <w:proofErr w:type="gramEnd"/>
      <w:r w:rsidRPr="005277A0">
        <w:t xml:space="preserve"> wspieranie programów zapewniających szkolenia, sprzęt i wymianę ochotniczych służb ochrony ludności; wzywa Komisję i państwa członkowskie do przyspieszenia utworzenia nowej stałej floty rescEU i zapewnienia jej odpowiedniego finansowania;</w:t>
      </w:r>
    </w:p>
    <w:p w:rsidR="00066AFF" w:rsidRPr="005277A0" w:rsidRDefault="00066AFF" w:rsidP="00066AFF">
      <w:pPr>
        <w:pStyle w:val="NormalHanging12a"/>
        <w:rPr>
          <w:szCs w:val="24"/>
        </w:rPr>
      </w:pPr>
      <w:r w:rsidRPr="005277A0">
        <w:rPr>
          <w:i/>
        </w:rPr>
        <w:t>Wsparcie finansowe i instrumenty budżetowe</w:t>
      </w:r>
    </w:p>
    <w:p w:rsidR="00066AFF" w:rsidRDefault="00066AFF" w:rsidP="00066AFF">
      <w:pPr>
        <w:pStyle w:val="NormalHanging12a"/>
      </w:pPr>
      <w:r w:rsidRPr="005277A0">
        <w:t>8.</w:t>
      </w:r>
      <w:r w:rsidRPr="005277A0">
        <w:tab/>
      </w:r>
      <w:proofErr w:type="gramStart"/>
      <w:r w:rsidRPr="005277A0">
        <w:t>wzywa</w:t>
      </w:r>
      <w:proofErr w:type="gramEnd"/>
      <w:r w:rsidRPr="005277A0">
        <w:t xml:space="preserve"> do zapewnienia natychmiastowej pomocy finansowej i technicznej UE dla dotkniętych krajów;</w:t>
      </w:r>
    </w:p>
    <w:p w:rsidR="00DC71B3" w:rsidRPr="005277A0" w:rsidRDefault="002D1EE5" w:rsidP="00066AFF">
      <w:pPr>
        <w:pStyle w:val="NormalHanging12a"/>
      </w:pPr>
      <w:r>
        <w:t>9</w:t>
      </w:r>
      <w:r w:rsidR="00DC71B3" w:rsidRPr="00DC71B3">
        <w:t>.</w:t>
      </w:r>
      <w:r w:rsidR="00DC71B3" w:rsidRPr="00DC71B3">
        <w:tab/>
      </w:r>
      <w:proofErr w:type="gramStart"/>
      <w:r w:rsidR="00DC71B3" w:rsidRPr="00DC71B3">
        <w:t>pilnie</w:t>
      </w:r>
      <w:proofErr w:type="gramEnd"/>
      <w:r w:rsidR="00DC71B3" w:rsidRPr="00DC71B3">
        <w:t xml:space="preserve"> wzywa do uruchomienia rezerwy kryzysowej WPR w celu złagodzenia poważnych strat poniesionych przez sektor rolny w Rumunii w wyniku klęsk żywiołowych;</w:t>
      </w:r>
    </w:p>
    <w:p w:rsidR="00066AFF" w:rsidRPr="005277A0" w:rsidRDefault="002D1EE5" w:rsidP="00066AFF">
      <w:pPr>
        <w:pStyle w:val="NormalHanging12a"/>
      </w:pPr>
      <w:r>
        <w:lastRenderedPageBreak/>
        <w:t>10</w:t>
      </w:r>
      <w:r w:rsidR="00066AFF" w:rsidRPr="005277A0">
        <w:t>.</w:t>
      </w:r>
      <w:r w:rsidR="00066AFF" w:rsidRPr="005277A0">
        <w:tab/>
      </w:r>
      <w:proofErr w:type="gramStart"/>
      <w:r w:rsidR="00066AFF" w:rsidRPr="005277A0">
        <w:t>wzywa</w:t>
      </w:r>
      <w:proofErr w:type="gramEnd"/>
      <w:r w:rsidR="00066AFF" w:rsidRPr="005277A0">
        <w:t xml:space="preserve"> do uruchomienia takich mechanizmów jak FSUE; uważa jednak, że budżet FSUE powinien być współmierny do rosnącej liczby i dotkliwości klęsk żywiołowych w całej Europie; wzywa Komisję do zwiększenia środków europejskiej rezerwy solidarnościowej (ESR); apeluje, aby Komisja zbadała wszystkie możliwe sposoby na szybsze uruchamianie FSUE; podkreśla zatem znaczenie zapewnienia odpowiedniego finansowania FSUE w następnych WRF; podkreśla ponadto potrzebę rozsądnej elastyczności, ilekroć kraje i regiony otrzymujące pomoc napotykają uzasadnione opóźnienia i wyzwania podczas ubiegania się o przyznane środki finansowe i ich wykorzystywania; wzywa ponadto do utworzenia nadzwyczajnej linii budżetowej, która ułatwi szybką odbudowę dotkniętych obszarów, infrastruktury i gospodarstw domowych, a także </w:t>
      </w:r>
      <w:proofErr w:type="gramStart"/>
      <w:r w:rsidR="00066AFF" w:rsidRPr="005277A0">
        <w:t>inwestycje</w:t>
      </w:r>
      <w:proofErr w:type="gramEnd"/>
      <w:r w:rsidR="00066AFF" w:rsidRPr="005277A0">
        <w:t xml:space="preserve"> w środki zapobiegawcze w celu ograniczenia skutków przyszłych ekstremalnych zdarzeń pogodowych;</w:t>
      </w:r>
    </w:p>
    <w:p w:rsidR="00066AFF" w:rsidRPr="005277A0" w:rsidRDefault="00066AFF" w:rsidP="00066AFF">
      <w:pPr>
        <w:pStyle w:val="NormalHanging12a"/>
        <w:rPr>
          <w:rFonts w:eastAsia="Calibri"/>
          <w:i/>
          <w:iCs/>
          <w:szCs w:val="24"/>
        </w:rPr>
      </w:pPr>
      <w:r w:rsidRPr="005277A0">
        <w:rPr>
          <w:i/>
        </w:rPr>
        <w:t>Polityka regionalna</w:t>
      </w:r>
    </w:p>
    <w:p w:rsidR="00066AFF" w:rsidRDefault="002D1EE5" w:rsidP="00066AFF">
      <w:pPr>
        <w:pStyle w:val="NormalHanging12a"/>
      </w:pPr>
      <w:r>
        <w:t>11</w:t>
      </w:r>
      <w:r w:rsidR="00066AFF" w:rsidRPr="005277A0">
        <w:t>.</w:t>
      </w:r>
      <w:r w:rsidR="00066AFF" w:rsidRPr="005277A0">
        <w:tab/>
      </w:r>
      <w:proofErr w:type="gramStart"/>
      <w:r w:rsidR="00066AFF" w:rsidRPr="005277A0">
        <w:t>apeluje</w:t>
      </w:r>
      <w:proofErr w:type="gramEnd"/>
      <w:r w:rsidR="00066AFF" w:rsidRPr="005277A0">
        <w:t>, aby Komisja udzielała wsparcia technicznego i finansowego regionom nieproporcjonalnie dotkniętym klęskami żywiołowymi zaostrzonymi przez zmianę klimatu, w tym w ramach instrumentów polityki spójności, tak aby żadne państwo członkowskie ani region nie zostały w tyle w wysiłkach na rzecz zwiększenia odporności na zmianę klimatu i gotowości na wypadek klęsk żywiołowych; zwraca uwagę, że pomoc i środki finansowe dla obszarów dotkniętych klęską żywiołową należy udostępniać możliwie szybko, łatwo i elastycznie;</w:t>
      </w:r>
    </w:p>
    <w:p w:rsidR="00DC71B3" w:rsidRPr="005277A0" w:rsidRDefault="002D1EE5" w:rsidP="00066AFF">
      <w:pPr>
        <w:pStyle w:val="NormalHanging12a"/>
      </w:pPr>
      <w:r>
        <w:t>12</w:t>
      </w:r>
      <w:r w:rsidR="00DC71B3" w:rsidRPr="00DC71B3">
        <w:t>.</w:t>
      </w:r>
      <w:r w:rsidR="00DC71B3" w:rsidRPr="00DC71B3">
        <w:tab/>
      </w:r>
      <w:proofErr w:type="gramStart"/>
      <w:r w:rsidR="00DC71B3" w:rsidRPr="00DC71B3">
        <w:t>zauważa</w:t>
      </w:r>
      <w:proofErr w:type="gramEnd"/>
      <w:r w:rsidR="00DC71B3" w:rsidRPr="00DC71B3">
        <w:t>, że znaczne podwyższenie zaliczek z FSUE umożliwiłoby państwom członkowskim skuteczniejsze i szybsze reagowanie na klęski żywiołowe, zwłaszcza w regionach słabiej rozwiniętych, gdzie potrzebna jest natychmiastowa pomoc; wzywa Komisję do zbadania wszystkich możliwych sposobów na szybsze uruchomienie FSUE, w szczególności poprzez zmianę obecnych przepisów, oraz do rozważenia przyznania wyższych zaliczek krajom kandydującym;</w:t>
      </w:r>
    </w:p>
    <w:p w:rsidR="00066AFF" w:rsidRPr="005277A0" w:rsidRDefault="002D1EE5" w:rsidP="00066AFF">
      <w:pPr>
        <w:pStyle w:val="NormalHanging12a"/>
      </w:pPr>
      <w:r>
        <w:t>13</w:t>
      </w:r>
      <w:r w:rsidR="00066AFF" w:rsidRPr="005277A0">
        <w:t>.</w:t>
      </w:r>
      <w:r w:rsidR="00066AFF" w:rsidRPr="005277A0">
        <w:tab/>
      </w:r>
      <w:proofErr w:type="gramStart"/>
      <w:r w:rsidR="00066AFF" w:rsidRPr="005277A0">
        <w:t>zdecydowanie</w:t>
      </w:r>
      <w:proofErr w:type="gramEnd"/>
      <w:r w:rsidR="00066AFF" w:rsidRPr="005277A0">
        <w:t xml:space="preserve"> popiera zwiększenie unijnych inwestycji związanych z odpornością regionalną i lokalną w kolejnych WRF, zwłaszcza w ramach polityki spójności; uznaje potrzebę wewnętrznej elastyczności kryzysowej w kontekście finansowania regionalnego w celu zabezpieczenia dodatkowych inwestycji w projekty dotyczące obiektów, które zostały uszkodzone lub uległy zniszczeniu przed ich sfinalizowaniem; proponuje utworzenie specjalnej osi priorytetowej w ramach polityki spójności dla władz lokalnych i regionalnych, aby uwzględnić priorytety pojawiające się w procesie oddolnym, inicjowanym na szczeblu niższym niż krajowy; uważa, że kluczową zasadą powinno być podejście inwestycyjne dostosowane do konkretnych potrzeb na miejscu;</w:t>
      </w:r>
    </w:p>
    <w:p w:rsidR="00066AFF" w:rsidRPr="005277A0" w:rsidRDefault="002D1EE5" w:rsidP="00066AFF">
      <w:pPr>
        <w:pStyle w:val="NormalHanging12a"/>
      </w:pPr>
      <w:r>
        <w:t>14</w:t>
      </w:r>
      <w:r w:rsidR="00066AFF" w:rsidRPr="005277A0">
        <w:t>.</w:t>
      </w:r>
      <w:r w:rsidR="00066AFF" w:rsidRPr="005277A0">
        <w:tab/>
      </w:r>
      <w:proofErr w:type="gramStart"/>
      <w:r w:rsidR="00066AFF" w:rsidRPr="005277A0">
        <w:t>ma</w:t>
      </w:r>
      <w:proofErr w:type="gramEnd"/>
      <w:r w:rsidR="00066AFF" w:rsidRPr="005277A0">
        <w:t xml:space="preserve"> świadomość, że przyszła polityka spójności UE powinna bardziej koncentrować się na łagodzeniu zmiany klimatu i przystosowywaniu się do niej; apeluje zatem, aby zagwarantować inwestycje w przystosowanie się do zmiany klimatu oraz zapobieganie klęskom żywiołowym i gotowość na wypadek ich wystąpienia poprzez specjalny cel polityki lub specjalną oś priorytetową w ramach rozwoju regionalnego i ogólnych ram polityki spójności, koncentrację tematyczną albo szczególny warunek podstawowy, umożliwiający zajęcie się pojawiającymi się priorytetami w procesie oddolnym, tak by zapewnić zrównoważone inwestycje w infrastrukturę lokalną, regionalną i krajową oraz zarządzanie ryzykiem na słabiej rozwiniętych obszarach miejskich i wiejskich, w tym w regionach przygranicznych, wyspiarskich </w:t>
      </w:r>
      <w:proofErr w:type="gramStart"/>
      <w:r w:rsidR="00066AFF" w:rsidRPr="005277A0">
        <w:t>i</w:t>
      </w:r>
      <w:proofErr w:type="gramEnd"/>
      <w:r w:rsidR="00066AFF" w:rsidRPr="005277A0">
        <w:t xml:space="preserve"> najbardziej oddalonych;</w:t>
      </w:r>
    </w:p>
    <w:p w:rsidR="00066AFF" w:rsidRPr="005277A0" w:rsidRDefault="002D1EE5" w:rsidP="00066AFF">
      <w:pPr>
        <w:pStyle w:val="NormalHanging12a"/>
      </w:pPr>
      <w:r>
        <w:lastRenderedPageBreak/>
        <w:t>15</w:t>
      </w:r>
      <w:r w:rsidR="00066AFF" w:rsidRPr="005277A0">
        <w:t>.</w:t>
      </w:r>
      <w:r w:rsidR="00066AFF" w:rsidRPr="005277A0">
        <w:tab/>
      </w:r>
      <w:proofErr w:type="gramStart"/>
      <w:r w:rsidR="00066AFF" w:rsidRPr="005277A0">
        <w:t>podkreśla</w:t>
      </w:r>
      <w:proofErr w:type="gramEnd"/>
      <w:r w:rsidR="00066AFF" w:rsidRPr="005277A0">
        <w:t>, że należy opracować i utrzymać programy i środki UE dostosowane do potrzeb regionów podatnych na klęski żywiołowe; uznaje, że w kontekście finansowania regionalnego potrzebna jest wbudowana elastyczność kryzysowa;</w:t>
      </w:r>
    </w:p>
    <w:p w:rsidR="00066AFF" w:rsidRPr="005277A0" w:rsidRDefault="002D1EE5" w:rsidP="00066AFF">
      <w:pPr>
        <w:pStyle w:val="NormalHanging12a"/>
      </w:pPr>
      <w:r>
        <w:t>16</w:t>
      </w:r>
      <w:r w:rsidR="00066AFF" w:rsidRPr="005277A0">
        <w:t>.</w:t>
      </w:r>
      <w:r w:rsidR="00066AFF" w:rsidRPr="005277A0">
        <w:tab/>
      </w:r>
      <w:proofErr w:type="gramStart"/>
      <w:r w:rsidR="00066AFF" w:rsidRPr="005277A0">
        <w:t>uważa</w:t>
      </w:r>
      <w:proofErr w:type="gramEnd"/>
      <w:r w:rsidR="00066AFF" w:rsidRPr="005277A0">
        <w:t>, że programowanie i realizacja inwestycji regionalnych finansowanych z budżetu UE powinny być nadal objęte zarządzaniem dzielonym, aby móc reagować na potrzeby państw członkowskich, regionów oraz obszarów miejskich, wiejskich i oddalonych, zwłaszcza w celu umożliwienia obszarom miejskim i wiejskim przystosowania się do nowych wyzwań, takich jak powodzie;</w:t>
      </w:r>
    </w:p>
    <w:p w:rsidR="00066AFF" w:rsidRPr="005277A0" w:rsidRDefault="002D1EE5" w:rsidP="00066AFF">
      <w:pPr>
        <w:pStyle w:val="NormalHanging12a"/>
      </w:pPr>
      <w:r>
        <w:t>17</w:t>
      </w:r>
      <w:r w:rsidR="00066AFF" w:rsidRPr="005277A0">
        <w:t>.</w:t>
      </w:r>
      <w:r w:rsidR="00066AFF" w:rsidRPr="005277A0">
        <w:tab/>
      </w:r>
      <w:proofErr w:type="gramStart"/>
      <w:r w:rsidR="00066AFF" w:rsidRPr="005277A0">
        <w:t>podkreśla</w:t>
      </w:r>
      <w:proofErr w:type="gramEnd"/>
      <w:r w:rsidR="00066AFF" w:rsidRPr="005277A0">
        <w:t>, że pod względem kompetencji samorządów lokalnych i regionalnych występują różnice między państwami członkowskimi; przypomina, że władze lokalne i regionalne odgrywają zasadniczą rolę w planowaniu, przygotowywaniu i wdrażaniu projektów, które powinny przyczyniać się do przystosowania się do zmiany klimatu, zapobiegania ryzyku i gotowości w terenie; apeluje o wzmocnione podejście ukierunkowane terytorialnie, tak by działania w zakresie gotowości na wypadek klęsk żywiołowych i zarządzania klęskami żywiołowymi miały miejsce bliżej szczebla regionalnego i lokalnego;</w:t>
      </w:r>
    </w:p>
    <w:p w:rsidR="00066AFF" w:rsidRPr="005277A0" w:rsidRDefault="002D1EE5" w:rsidP="00066AFF">
      <w:pPr>
        <w:pStyle w:val="NormalHanging12a"/>
      </w:pPr>
      <w:r>
        <w:t>18</w:t>
      </w:r>
      <w:r w:rsidR="00066AFF" w:rsidRPr="005277A0">
        <w:t>.</w:t>
      </w:r>
      <w:r w:rsidR="00066AFF" w:rsidRPr="005277A0">
        <w:tab/>
      </w:r>
      <w:proofErr w:type="gramStart"/>
      <w:r w:rsidR="00066AFF" w:rsidRPr="005277A0">
        <w:t>podkreśla</w:t>
      </w:r>
      <w:proofErr w:type="gramEnd"/>
      <w:r w:rsidR="00066AFF" w:rsidRPr="005277A0">
        <w:t>, że polityka regionalna UE odgrywa zasadniczą rolę w rozwijaniu odpowiednich zdolności władz lokalnych i regionalnych, oraz wzywa do umacniania ich roli; podkreśla, że zdolności techniczne, finansowe i administracyjne mają zasadnicze znaczenie dla zagwarantowania, że organy zarządzające oraz samorządy lokalne i regionalne zdobędą wiedzę techniczną, zwłaszcza na temat zmiany klimatu, przydatną do planowania przestrzeni miejskiej i wiejskiej oraz zarządzania nią; jest przekonany, że poprawi to opracowywanie i ocenę wniosków w sprawie projektów oraz umożliwi skuteczniejszą alokację zasobów i zadowalające wykonanie budżetu, bez znacznego ryzyka anulowania inwestycji UE;</w:t>
      </w:r>
    </w:p>
    <w:p w:rsidR="00066AFF" w:rsidRPr="005277A0" w:rsidRDefault="002D1EE5" w:rsidP="00066AFF">
      <w:pPr>
        <w:pStyle w:val="NormalHanging12a"/>
      </w:pPr>
      <w:r>
        <w:t>19</w:t>
      </w:r>
      <w:r w:rsidR="00066AFF" w:rsidRPr="005277A0">
        <w:t>.</w:t>
      </w:r>
      <w:r w:rsidR="00066AFF" w:rsidRPr="005277A0">
        <w:tab/>
      </w:r>
      <w:proofErr w:type="gramStart"/>
      <w:r w:rsidR="00066AFF" w:rsidRPr="005277A0">
        <w:t>apeluje</w:t>
      </w:r>
      <w:proofErr w:type="gramEnd"/>
      <w:r w:rsidR="00066AFF" w:rsidRPr="005277A0">
        <w:t>, aby istniejące programy pomocy technicznej i programy doradcze były ukierunkowane konkretnie na mniejsze gminy oraz obszary transgraniczne, oddalone i wiejskie, a także regiony najbardziej oddalone i wyspiarskie, tak aby pomóc im reagować na nowe wyzwania, takie jak transformacja ekologiczna i zmiana klimatu; podkreśla w związku z tym znaczenie instrumentów pomocy technicznej opracowywanych w ramach współpracy między Europejskim Bankiem Inwestycyjnym a Komisją; apeluje o ukierunkowane wsparcie w formie 100 % finansowania unijnego z przeznaczeniem na budowanie zdolności technicznych, finansowych i administracyjnych, opracowywanie i przygotowywanie projektów, określanie i tworzenie harmonogramu projektów, a także zapewnianie zdolności planowania strategicznego, w tym instrumentów planowania;</w:t>
      </w:r>
    </w:p>
    <w:p w:rsidR="00066AFF" w:rsidRPr="005277A0" w:rsidRDefault="002D1EE5" w:rsidP="00066AFF">
      <w:pPr>
        <w:pStyle w:val="NormalHanging12a"/>
      </w:pPr>
      <w:r>
        <w:t>20</w:t>
      </w:r>
      <w:r w:rsidR="00066AFF" w:rsidRPr="005277A0">
        <w:t>.</w:t>
      </w:r>
      <w:r w:rsidR="00066AFF" w:rsidRPr="005277A0">
        <w:tab/>
      </w:r>
      <w:proofErr w:type="gramStart"/>
      <w:r w:rsidR="00066AFF" w:rsidRPr="005277A0">
        <w:t>apeluje</w:t>
      </w:r>
      <w:proofErr w:type="gramEnd"/>
      <w:r w:rsidR="00066AFF" w:rsidRPr="005277A0">
        <w:t xml:space="preserve"> o większe włączanie inicjatyw Komisji, takich jak unijne Porozumienie Burmistrzów na rzecz Klimatu i Energii, w opracowywanie i wdrażanie nowej generacji inwestycji w gotowość na wypadek klęsk żywiołowych; dostrzega, że wsparcie w zakresie polityki i wdrażania, ukierunkowane na burmistrzów i samorządy lokalne, przynosi znacznie lepsze wyniki w kontekście wdrażania polityki;</w:t>
      </w:r>
    </w:p>
    <w:p w:rsidR="00066AFF" w:rsidRPr="005277A0" w:rsidRDefault="002D1EE5" w:rsidP="00066AFF">
      <w:pPr>
        <w:pStyle w:val="NormalHanging12a"/>
      </w:pPr>
      <w:r>
        <w:t>21</w:t>
      </w:r>
      <w:r w:rsidR="00066AFF" w:rsidRPr="005277A0">
        <w:t>.</w:t>
      </w:r>
      <w:r w:rsidR="00066AFF" w:rsidRPr="005277A0">
        <w:tab/>
      </w:r>
      <w:proofErr w:type="gramStart"/>
      <w:r w:rsidR="00066AFF" w:rsidRPr="005277A0">
        <w:t>zachęca</w:t>
      </w:r>
      <w:proofErr w:type="gramEnd"/>
      <w:r w:rsidR="00066AFF" w:rsidRPr="005277A0">
        <w:t xml:space="preserve"> do wzmocnienia ram współpracy regionalnej między krajami Europy Środkowej i Wschodniej oraz zachęca do skorzystania z pomocy międzynarodowych ekspertów w celu wsparcia wysiłków na rzecz odbudowy, aby wspierać wspólne strategie zarządzania klęskami żywiołowymi, dzielić się najlepszymi praktykami i </w:t>
      </w:r>
      <w:r w:rsidR="00066AFF" w:rsidRPr="005277A0">
        <w:lastRenderedPageBreak/>
        <w:t>poprawić transgraniczną gospodarkę wodną;</w:t>
      </w:r>
    </w:p>
    <w:p w:rsidR="00066AFF" w:rsidRPr="005277A0" w:rsidRDefault="00066AFF" w:rsidP="00066AFF">
      <w:pPr>
        <w:pStyle w:val="NormalHanging12a"/>
        <w:rPr>
          <w:bCs/>
          <w:szCs w:val="24"/>
        </w:rPr>
      </w:pPr>
      <w:r w:rsidRPr="005277A0">
        <w:rPr>
          <w:i/>
        </w:rPr>
        <w:t>Przystosowanie się do zmiany klimatu</w:t>
      </w:r>
    </w:p>
    <w:p w:rsidR="00066AFF" w:rsidRPr="005277A0" w:rsidRDefault="002D1EE5" w:rsidP="00066AFF">
      <w:pPr>
        <w:pStyle w:val="NormalHanging12a"/>
      </w:pPr>
      <w:r>
        <w:t>22</w:t>
      </w:r>
      <w:r w:rsidR="00066AFF" w:rsidRPr="005277A0">
        <w:t>.</w:t>
      </w:r>
      <w:r w:rsidR="00066AFF" w:rsidRPr="005277A0">
        <w:tab/>
      </w:r>
      <w:proofErr w:type="gramStart"/>
      <w:r w:rsidR="00066AFF" w:rsidRPr="005277A0">
        <w:t>wzywa</w:t>
      </w:r>
      <w:proofErr w:type="gramEnd"/>
      <w:r w:rsidR="00066AFF" w:rsidRPr="005277A0">
        <w:t xml:space="preserve"> Komisję do szybkiego przedstawienia europejskiego planu przystosowania się do zmiany klimatu, który zapowiedziała w ramach wytycznych politycznych na następną kadencję Komisji Europejskiej (2024–2029), w tym konkretnych wniosków ustawodawczych, w celu skoordynowania wysiłków na rzecz zwiększenia przystosowania się do zmiany klimatu i odporności zgodnie z celami Europejskiego prawa o klimacie i porozumienia paryskiego, aby wzmocnić odporność naszych społeczeństw i dostosować się do skutków zmiany klimatu, zapewnić regularne oceny ryzyka oparte na podstawach naukowych, wymierne cele w zakresie odporności oraz wspierać i koordynować działania państw członkowskich w zakresie gotowości, planowania i współpracy transgranicznej;</w:t>
      </w:r>
    </w:p>
    <w:p w:rsidR="00066AFF" w:rsidRPr="005277A0" w:rsidRDefault="002D1EE5" w:rsidP="00066AFF">
      <w:pPr>
        <w:pStyle w:val="NormalHanging12a"/>
      </w:pPr>
      <w:r>
        <w:t>23</w:t>
      </w:r>
      <w:r w:rsidR="00066AFF" w:rsidRPr="005277A0">
        <w:t>.</w:t>
      </w:r>
      <w:r w:rsidR="00066AFF" w:rsidRPr="005277A0">
        <w:tab/>
      </w:r>
      <w:proofErr w:type="gramStart"/>
      <w:r w:rsidR="00066AFF" w:rsidRPr="005277A0">
        <w:t>podkreśla</w:t>
      </w:r>
      <w:proofErr w:type="gramEnd"/>
      <w:r w:rsidR="00066AFF" w:rsidRPr="005277A0">
        <w:t xml:space="preserve"> w związku z tym potrzebę dalszych pilnych inwestycji w zarządzanie powodziami i środki zapobiegania ryzyku, w tym lepsze systemy wczesnego ostrzegania, systemy monitorowania w czasie rzeczywistym, infrastrukturę zarządzania powodziami i rozwiązania oparte na zasobach przyrody, a także długoterminowych inwestycji w zieloną i niebieską infrastrukturę, np. poprzez zapewnienie strumieniom i rzekom większej przestrzeni poprzez przywrócenie naturalnych terenów zalewowych i starorzeczy, terenów podmokłych i lasów oraz poprawę retencji wody poprzez przywrócenie krajobrazom funkcji zatrzymywania wody; wzywa do wykorzystania wszelkich potencjalnych efektów synergii między instrumentami planowania opracowywanymi przez państwa członkowskie, np. planami naturalnej rekultywacji, planami dotyczącymi obszarów glebowych, zintegrowanymi planami zarządzania na </w:t>
      </w:r>
      <w:proofErr w:type="gramStart"/>
      <w:r w:rsidR="00066AFF" w:rsidRPr="005277A0">
        <w:t>mocy</w:t>
      </w:r>
      <w:proofErr w:type="gramEnd"/>
      <w:r w:rsidR="00066AFF" w:rsidRPr="005277A0">
        <w:t xml:space="preserve"> dyrektywy dotyczącej oczyszczania ścieków komunalnych</w:t>
      </w:r>
      <w:r w:rsidR="00066AFF" w:rsidRPr="005277A0">
        <w:rPr>
          <w:rStyle w:val="FootnoteReference"/>
        </w:rPr>
        <w:footnoteReference w:id="6"/>
      </w:r>
      <w:r w:rsidR="00066AFF" w:rsidRPr="005277A0">
        <w:t xml:space="preserve"> i zarządzania ryzykiem powodziowym, przy jednoczesnym unikaniu niewłaściwej adaptacji;</w:t>
      </w:r>
    </w:p>
    <w:p w:rsidR="00066AFF" w:rsidRPr="005277A0" w:rsidRDefault="002D1EE5" w:rsidP="00066AFF">
      <w:pPr>
        <w:pStyle w:val="NormalHanging12a"/>
      </w:pPr>
      <w:r>
        <w:t>24</w:t>
      </w:r>
      <w:r w:rsidR="00066AFF" w:rsidRPr="005277A0">
        <w:t>.</w:t>
      </w:r>
      <w:r w:rsidR="00066AFF" w:rsidRPr="005277A0">
        <w:tab/>
      </w:r>
      <w:proofErr w:type="gramStart"/>
      <w:r w:rsidR="00066AFF" w:rsidRPr="005277A0">
        <w:t>w</w:t>
      </w:r>
      <w:proofErr w:type="gramEnd"/>
      <w:r w:rsidR="00066AFF" w:rsidRPr="005277A0">
        <w:t xml:space="preserve"> związku z tym wzywa Komisję, aby ograniczyła przeszkody biurokratyczne i przyspieszyła procedury zatwierdzania budowy i naprawy infrastruktury przeciwpowodziowej oraz rozwiązania oparte na zasobach przyrody, tak aby pilnie potrzebne środki ochronne można było wdrażać bez zbędnych opóźnień; podkreśla, że wymaga to krótszych procedur, dobrze określonego zakresu odpowiedzialności i wyraźnego skupienia się na niezbędnych środkach budowlanych;</w:t>
      </w:r>
    </w:p>
    <w:p w:rsidR="00066AFF" w:rsidRPr="005277A0" w:rsidRDefault="002D1EE5" w:rsidP="00066AFF">
      <w:pPr>
        <w:pStyle w:val="NormalHanging12a"/>
      </w:pPr>
      <w:r>
        <w:t>25</w:t>
      </w:r>
      <w:r w:rsidR="00066AFF" w:rsidRPr="005277A0">
        <w:t>.</w:t>
      </w:r>
      <w:r w:rsidR="00066AFF" w:rsidRPr="005277A0">
        <w:tab/>
      </w:r>
      <w:proofErr w:type="gramStart"/>
      <w:r w:rsidR="00066AFF" w:rsidRPr="005277A0">
        <w:t>podkreśla</w:t>
      </w:r>
      <w:proofErr w:type="gramEnd"/>
      <w:r w:rsidR="00066AFF" w:rsidRPr="005277A0">
        <w:t xml:space="preserve"> kilka przykładów skutecznych środków zapobiegania powodziom i ochrony przeciwpowodziowej, często przy wsparciu z funduszy UE, które pomogły niektórym regionom i społecznościom ochronić się przed najgorszymi skutkami trwającej powodzi, takich jak zbiornik Racibórz Dolny i otaczające go suche poldery w Polsce, które odegrały kluczową rolę w ograniczeniu szkód we Wrocławiu, a także tereny zalewowe Dunaju i inne środki zapobiegawcze w Dolnej Austrii i Wiedniu;</w:t>
      </w:r>
    </w:p>
    <w:p w:rsidR="00066AFF" w:rsidRPr="005277A0" w:rsidRDefault="002D1EE5" w:rsidP="00066AFF">
      <w:pPr>
        <w:pStyle w:val="NormalHanging12a"/>
      </w:pPr>
      <w:r>
        <w:t>26</w:t>
      </w:r>
      <w:r w:rsidR="00066AFF" w:rsidRPr="005277A0">
        <w:t>.</w:t>
      </w:r>
      <w:r w:rsidR="00066AFF" w:rsidRPr="005277A0">
        <w:tab/>
      </w:r>
      <w:proofErr w:type="gramStart"/>
      <w:r w:rsidR="00066AFF" w:rsidRPr="005277A0">
        <w:t>zwraca</w:t>
      </w:r>
      <w:proofErr w:type="gramEnd"/>
      <w:r w:rsidR="00066AFF" w:rsidRPr="005277A0">
        <w:t xml:space="preserve"> się do Komisji, aby oceniła wdrażanie obowiązujących przepisów dotyczących zapobiegania powodziom w UE oraz skuteczność wcześniejszych projektów finansowanych przez UE, przedstawiając zalecenia dotyczące lepszego wykorzystania środków unijnych; wzywa państwa członkowskie do zaktualizowania swoich planów działań przeciwpowodziowych, aby określić strefy wysokiego ryzyka powodziowego i miejsca, w których należy wstrzymać plany budowlane, w celu poprawy zapobiegania </w:t>
      </w:r>
      <w:r w:rsidR="00066AFF" w:rsidRPr="005277A0">
        <w:lastRenderedPageBreak/>
        <w:t>ryzyku i zwiększenia ochrony ludności;</w:t>
      </w:r>
    </w:p>
    <w:p w:rsidR="00066AFF" w:rsidRPr="005277A0" w:rsidRDefault="002D1EE5" w:rsidP="00066AFF">
      <w:pPr>
        <w:pStyle w:val="NormalHanging12a"/>
      </w:pPr>
      <w:r>
        <w:t>27</w:t>
      </w:r>
      <w:r w:rsidR="00066AFF" w:rsidRPr="005277A0">
        <w:t>.</w:t>
      </w:r>
      <w:r w:rsidR="00066AFF" w:rsidRPr="005277A0">
        <w:tab/>
      </w:r>
      <w:proofErr w:type="gramStart"/>
      <w:r w:rsidR="00066AFF" w:rsidRPr="005277A0">
        <w:t>zaznacza</w:t>
      </w:r>
      <w:proofErr w:type="gramEnd"/>
      <w:r w:rsidR="00066AFF" w:rsidRPr="005277A0">
        <w:t>, że rozwiązanie problemu nierówności społeczno-ekonomicznych ma zasadnicze znaczenie dla sprawiedliwego przystosowania się do zmiany klimatu; podkreśla, że różnice w podatności na zagrożenia różnych grup wymagają ukierunkowanego podejścia do przystosowania się do zmiany klimatu oraz gotowości na wypadek klęsk żywiołowych i zapobiegania im;</w:t>
      </w:r>
    </w:p>
    <w:p w:rsidR="00066AFF" w:rsidRPr="005277A0" w:rsidRDefault="002D1EE5" w:rsidP="00066AFF">
      <w:pPr>
        <w:pStyle w:val="NormalHanging12a"/>
        <w:rPr>
          <w:rFonts w:eastAsia="Calibri"/>
        </w:rPr>
      </w:pPr>
      <w:r>
        <w:t>28</w:t>
      </w:r>
      <w:r w:rsidR="00066AFF" w:rsidRPr="005277A0">
        <w:t>.</w:t>
      </w:r>
      <w:r w:rsidR="00066AFF" w:rsidRPr="005277A0">
        <w:tab/>
      </w:r>
      <w:proofErr w:type="gramStart"/>
      <w:r w:rsidR="00066AFF" w:rsidRPr="005277A0">
        <w:t>podkreśla</w:t>
      </w:r>
      <w:proofErr w:type="gramEnd"/>
      <w:r w:rsidR="00066AFF" w:rsidRPr="005277A0">
        <w:t>, że powodzie, susze, pożary i inne ekstremalne zjawiska pogodowe stwarzają poważne wyzwania dla wielu sektorów gospodarki, w szczególności dla sektora rolnego i rolników, którzy ponoszą dalsze straty i nie są w stanie zebrać swoich plonów; wzywa Komisję do lepszego zajęcia się wpływem tych zagrożeń związanych z klimatem na produkcję żywności, bezpieczeństwo żywnościowe i dochody rolników;</w:t>
      </w:r>
    </w:p>
    <w:p w:rsidR="00066AFF" w:rsidRPr="005277A0" w:rsidRDefault="002D1EE5" w:rsidP="00066AFF">
      <w:pPr>
        <w:pStyle w:val="NormalHanging12a"/>
      </w:pPr>
      <w:r>
        <w:t>29</w:t>
      </w:r>
      <w:r w:rsidR="00066AFF" w:rsidRPr="005277A0">
        <w:t>.</w:t>
      </w:r>
      <w:r w:rsidR="00066AFF" w:rsidRPr="005277A0">
        <w:tab/>
      </w:r>
      <w:proofErr w:type="gramStart"/>
      <w:r w:rsidR="00066AFF" w:rsidRPr="005277A0">
        <w:t>zaleca</w:t>
      </w:r>
      <w:proofErr w:type="gramEnd"/>
      <w:r w:rsidR="00066AFF" w:rsidRPr="005277A0">
        <w:t xml:space="preserve"> wykorzystanie zaawansowanych narzędzi programu Copernicus i danych z teledetekcji do wspierania środków zapobiegawczych;</w:t>
      </w:r>
    </w:p>
    <w:p w:rsidR="00066AFF" w:rsidRPr="005277A0" w:rsidRDefault="002D1EE5" w:rsidP="00066AFF">
      <w:pPr>
        <w:pStyle w:val="NormalHanging12a"/>
      </w:pPr>
      <w:r>
        <w:t>30</w:t>
      </w:r>
      <w:r w:rsidR="00066AFF" w:rsidRPr="005277A0">
        <w:t>.</w:t>
      </w:r>
      <w:r w:rsidR="00066AFF" w:rsidRPr="005277A0">
        <w:tab/>
      </w:r>
      <w:proofErr w:type="gramStart"/>
      <w:r w:rsidR="00066AFF" w:rsidRPr="005277A0">
        <w:t>zobowiązuje</w:t>
      </w:r>
      <w:proofErr w:type="gramEnd"/>
      <w:r w:rsidR="00066AFF" w:rsidRPr="005277A0">
        <w:t xml:space="preserve"> swoją przewodniczącą do przekazania niniejszej rezolucji Radzie i Komisji oraz rządom i parlamentom państw członkowskich.</w:t>
      </w:r>
    </w:p>
    <w:p w:rsidR="00066AFF" w:rsidRPr="005277A0" w:rsidRDefault="00066AFF" w:rsidP="00066AFF">
      <w:pPr>
        <w:pStyle w:val="NormalHanging12a"/>
        <w:ind w:left="0" w:firstLine="0"/>
      </w:pPr>
    </w:p>
    <w:sectPr w:rsidR="00066AFF" w:rsidRPr="005277A0" w:rsidSect="005277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7C87" w:rsidRPr="005277A0" w:rsidRDefault="007B7C87">
      <w:r w:rsidRPr="005277A0">
        <w:separator/>
      </w:r>
    </w:p>
  </w:endnote>
  <w:endnote w:type="continuationSeparator" w:id="0">
    <w:p w:rsidR="007B7C87" w:rsidRPr="005277A0" w:rsidRDefault="007B7C87">
      <w:r w:rsidRPr="005277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77A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77A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77A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7C87" w:rsidRPr="005277A0" w:rsidRDefault="007B7C87">
      <w:r w:rsidRPr="005277A0">
        <w:separator/>
      </w:r>
    </w:p>
  </w:footnote>
  <w:footnote w:type="continuationSeparator" w:id="0">
    <w:p w:rsidR="007B7C87" w:rsidRPr="005277A0" w:rsidRDefault="007B7C87">
      <w:r w:rsidRPr="005277A0">
        <w:continuationSeparator/>
      </w:r>
    </w:p>
  </w:footnote>
  <w:footnote w:id="1">
    <w:p w:rsidR="00066AFF" w:rsidRPr="005277A0" w:rsidRDefault="00066AFF" w:rsidP="005277A0">
      <w:pPr>
        <w:pStyle w:val="FootnoteText"/>
        <w:ind w:left="567" w:hanging="567"/>
        <w:rPr>
          <w:sz w:val="24"/>
          <w:lang w:val="pl-PL"/>
        </w:rPr>
      </w:pPr>
      <w:r w:rsidRPr="005277A0">
        <w:rPr>
          <w:rStyle w:val="FootnoteReference"/>
          <w:sz w:val="24"/>
          <w:lang w:val="pl-PL"/>
        </w:rPr>
        <w:footnoteRef/>
      </w:r>
      <w:r w:rsidR="005277A0" w:rsidRPr="005277A0">
        <w:rPr>
          <w:sz w:val="24"/>
          <w:lang w:val="pl-PL"/>
        </w:rPr>
        <w:t xml:space="preserve"> </w:t>
      </w:r>
      <w:r w:rsidR="005277A0" w:rsidRPr="005277A0">
        <w:rPr>
          <w:sz w:val="24"/>
          <w:lang w:val="pl-PL"/>
        </w:rPr>
        <w:tab/>
      </w:r>
      <w:r w:rsidRPr="005277A0">
        <w:rPr>
          <w:sz w:val="24"/>
          <w:lang w:val="pl-PL"/>
        </w:rPr>
        <w:t xml:space="preserve">Dz.U. C 445 z 29.10.2021, </w:t>
      </w:r>
      <w:proofErr w:type="gramStart"/>
      <w:r w:rsidRPr="005277A0">
        <w:rPr>
          <w:sz w:val="24"/>
          <w:lang w:val="pl-PL"/>
        </w:rPr>
        <w:t>s</w:t>
      </w:r>
      <w:proofErr w:type="gramEnd"/>
      <w:r w:rsidRPr="005277A0">
        <w:rPr>
          <w:sz w:val="24"/>
          <w:lang w:val="pl-PL"/>
        </w:rPr>
        <w:t>. 156.</w:t>
      </w:r>
    </w:p>
  </w:footnote>
  <w:footnote w:id="2">
    <w:p w:rsidR="00066AFF" w:rsidRPr="005277A0" w:rsidRDefault="00066AFF" w:rsidP="005277A0">
      <w:pPr>
        <w:pStyle w:val="FootnoteText"/>
        <w:ind w:left="567" w:hanging="567"/>
        <w:rPr>
          <w:sz w:val="24"/>
          <w:lang w:val="pl-PL"/>
        </w:rPr>
      </w:pPr>
      <w:r w:rsidRPr="005277A0">
        <w:rPr>
          <w:rStyle w:val="FootnoteReference"/>
          <w:sz w:val="24"/>
          <w:lang w:val="pl-PL"/>
        </w:rPr>
        <w:footnoteRef/>
      </w:r>
      <w:r w:rsidR="005277A0" w:rsidRPr="005277A0">
        <w:rPr>
          <w:sz w:val="24"/>
          <w:lang w:val="pl-PL"/>
        </w:rPr>
        <w:t xml:space="preserve"> </w:t>
      </w:r>
      <w:r w:rsidR="005277A0" w:rsidRPr="005277A0">
        <w:rPr>
          <w:sz w:val="24"/>
          <w:lang w:val="pl-PL"/>
        </w:rPr>
        <w:tab/>
      </w:r>
      <w:r w:rsidRPr="005277A0">
        <w:rPr>
          <w:sz w:val="24"/>
          <w:lang w:val="pl-PL"/>
        </w:rPr>
        <w:t xml:space="preserve">Dz.U. C 125 z 5.4.2023, </w:t>
      </w:r>
      <w:proofErr w:type="gramStart"/>
      <w:r w:rsidRPr="005277A0">
        <w:rPr>
          <w:sz w:val="24"/>
          <w:lang w:val="pl-PL"/>
        </w:rPr>
        <w:t>s</w:t>
      </w:r>
      <w:proofErr w:type="gramEnd"/>
      <w:r w:rsidRPr="005277A0">
        <w:rPr>
          <w:sz w:val="24"/>
          <w:lang w:val="pl-PL"/>
        </w:rPr>
        <w:t>. 135.</w:t>
      </w:r>
    </w:p>
  </w:footnote>
  <w:footnote w:id="3">
    <w:p w:rsidR="00066AFF" w:rsidRPr="005277A0" w:rsidRDefault="00066AFF" w:rsidP="005277A0">
      <w:pPr>
        <w:pStyle w:val="FootnoteText"/>
        <w:ind w:left="567" w:hanging="567"/>
        <w:rPr>
          <w:sz w:val="24"/>
          <w:lang w:val="pl-PL"/>
        </w:rPr>
      </w:pPr>
      <w:r w:rsidRPr="005277A0">
        <w:rPr>
          <w:rStyle w:val="FootnoteReference"/>
          <w:sz w:val="24"/>
          <w:lang w:val="pl-PL"/>
        </w:rPr>
        <w:footnoteRef/>
      </w:r>
      <w:r w:rsidR="005277A0" w:rsidRPr="005277A0">
        <w:rPr>
          <w:sz w:val="24"/>
          <w:lang w:val="pl-PL"/>
        </w:rPr>
        <w:t xml:space="preserve"> </w:t>
      </w:r>
      <w:r w:rsidR="005277A0" w:rsidRPr="005277A0">
        <w:rPr>
          <w:sz w:val="24"/>
          <w:lang w:val="pl-PL"/>
        </w:rPr>
        <w:tab/>
      </w:r>
      <w:r w:rsidRPr="005277A0">
        <w:rPr>
          <w:sz w:val="24"/>
          <w:lang w:val="pl-PL"/>
        </w:rPr>
        <w:t>Dz.U. C, C/2024/488 z 23.1.2024, ELI: http</w:t>
      </w:r>
      <w:proofErr w:type="gramStart"/>
      <w:r w:rsidRPr="005277A0">
        <w:rPr>
          <w:sz w:val="24"/>
          <w:lang w:val="pl-PL"/>
        </w:rPr>
        <w:t>://data</w:t>
      </w:r>
      <w:proofErr w:type="gramEnd"/>
      <w:r w:rsidRPr="005277A0">
        <w:rPr>
          <w:sz w:val="24"/>
          <w:lang w:val="pl-PL"/>
        </w:rPr>
        <w:t>.</w:t>
      </w:r>
      <w:proofErr w:type="gramStart"/>
      <w:r w:rsidRPr="005277A0">
        <w:rPr>
          <w:sz w:val="24"/>
          <w:lang w:val="pl-PL"/>
        </w:rPr>
        <w:t>europa</w:t>
      </w:r>
      <w:proofErr w:type="gramEnd"/>
      <w:r w:rsidRPr="005277A0">
        <w:rPr>
          <w:sz w:val="24"/>
          <w:lang w:val="pl-PL"/>
        </w:rPr>
        <w:t>.</w:t>
      </w:r>
      <w:proofErr w:type="gramStart"/>
      <w:r w:rsidRPr="005277A0">
        <w:rPr>
          <w:sz w:val="24"/>
          <w:lang w:val="pl-PL"/>
        </w:rPr>
        <w:t>eu</w:t>
      </w:r>
      <w:proofErr w:type="gramEnd"/>
      <w:r w:rsidRPr="005277A0">
        <w:rPr>
          <w:sz w:val="24"/>
          <w:lang w:val="pl-PL"/>
        </w:rPr>
        <w:t>/eli/C/2024/488/oj.</w:t>
      </w:r>
    </w:p>
  </w:footnote>
  <w:footnote w:id="4">
    <w:p w:rsidR="00066AFF" w:rsidRPr="00DC71B3" w:rsidRDefault="00066AFF" w:rsidP="005277A0">
      <w:pPr>
        <w:pStyle w:val="FootnoteText"/>
        <w:ind w:left="567" w:hanging="567"/>
        <w:rPr>
          <w:sz w:val="24"/>
          <w:lang w:val="en-GB"/>
        </w:rPr>
      </w:pPr>
      <w:r w:rsidRPr="005277A0">
        <w:rPr>
          <w:rStyle w:val="FootnoteReference"/>
          <w:sz w:val="24"/>
          <w:lang w:val="pl-PL"/>
        </w:rPr>
        <w:footnoteRef/>
      </w:r>
      <w:r w:rsidR="005277A0" w:rsidRPr="00DC71B3">
        <w:rPr>
          <w:sz w:val="24"/>
          <w:lang w:val="en-GB"/>
        </w:rPr>
        <w:t xml:space="preserve"> </w:t>
      </w:r>
      <w:r w:rsidR="005277A0" w:rsidRPr="00DC71B3">
        <w:rPr>
          <w:sz w:val="24"/>
          <w:lang w:val="en-GB"/>
        </w:rPr>
        <w:tab/>
      </w:r>
      <w:r w:rsidRPr="00DC71B3">
        <w:rPr>
          <w:sz w:val="24"/>
          <w:lang w:val="en-GB"/>
        </w:rPr>
        <w:t xml:space="preserve">Copernicus, </w:t>
      </w:r>
      <w:hyperlink w:anchor=":~:text=The%20average%20temperature%20for%20European%20land%20for%20summer%20(June%2DAugust,2022%20(1.34%C2%B0C)" w:history="1">
        <w:r w:rsidRPr="00DC71B3">
          <w:rPr>
            <w:rStyle w:val="Hyperlink"/>
            <w:sz w:val="24"/>
            <w:lang w:val="en-GB"/>
          </w:rPr>
          <w:t>„</w:t>
        </w:r>
        <w:proofErr w:type="gramStart"/>
        <w:r w:rsidRPr="00DC71B3">
          <w:rPr>
            <w:rStyle w:val="Hyperlink"/>
            <w:sz w:val="24"/>
            <w:lang w:val="en-GB"/>
          </w:rPr>
          <w:t>Summer</w:t>
        </w:r>
        <w:proofErr w:type="gramEnd"/>
        <w:r w:rsidRPr="00DC71B3">
          <w:rPr>
            <w:rStyle w:val="Hyperlink"/>
            <w:sz w:val="24"/>
            <w:lang w:val="en-GB"/>
          </w:rPr>
          <w:t xml:space="preserve"> 2024 – Hottest on record globally and for Europe”</w:t>
        </w:r>
      </w:hyperlink>
      <w:r w:rsidRPr="00DC71B3">
        <w:rPr>
          <w:sz w:val="24"/>
          <w:lang w:val="en-GB"/>
        </w:rPr>
        <w:t xml:space="preserve"> [Lato 2024 najgorętszym w historii świata i Europy]”. </w:t>
      </w:r>
    </w:p>
  </w:footnote>
  <w:footnote w:id="5">
    <w:p w:rsidR="00066AFF" w:rsidRPr="005277A0" w:rsidRDefault="00066AFF" w:rsidP="005277A0">
      <w:pPr>
        <w:pStyle w:val="FootnoteText"/>
        <w:ind w:left="567" w:hanging="567"/>
        <w:rPr>
          <w:sz w:val="24"/>
          <w:lang w:val="pl-PL"/>
        </w:rPr>
      </w:pPr>
      <w:r w:rsidRPr="005277A0">
        <w:rPr>
          <w:rStyle w:val="FootnoteReference"/>
          <w:sz w:val="24"/>
          <w:lang w:val="pl-PL"/>
        </w:rPr>
        <w:footnoteRef/>
      </w:r>
      <w:r w:rsidR="005277A0" w:rsidRPr="005277A0">
        <w:rPr>
          <w:sz w:val="24"/>
          <w:lang w:val="pl-PL"/>
        </w:rPr>
        <w:t xml:space="preserve"> </w:t>
      </w:r>
      <w:r w:rsidR="005277A0" w:rsidRPr="005277A0">
        <w:rPr>
          <w:sz w:val="24"/>
          <w:lang w:val="pl-PL"/>
        </w:rPr>
        <w:tab/>
      </w:r>
      <w:r w:rsidRPr="005277A0">
        <w:rPr>
          <w:sz w:val="24"/>
          <w:lang w:val="pl-PL"/>
        </w:rPr>
        <w:t>Ocena ryzyka związanego z klimatem w UE.</w:t>
      </w:r>
    </w:p>
  </w:footnote>
  <w:footnote w:id="6">
    <w:p w:rsidR="00066AFF" w:rsidRPr="005277A0" w:rsidRDefault="00066AFF" w:rsidP="005277A0">
      <w:pPr>
        <w:pStyle w:val="FootnoteText"/>
        <w:ind w:left="567" w:hanging="567"/>
        <w:rPr>
          <w:sz w:val="24"/>
          <w:lang w:val="pl-PL"/>
        </w:rPr>
      </w:pPr>
      <w:r w:rsidRPr="005277A0">
        <w:rPr>
          <w:rStyle w:val="FootnoteReference"/>
          <w:sz w:val="24"/>
          <w:lang w:val="pl-PL"/>
        </w:rPr>
        <w:footnoteRef/>
      </w:r>
      <w:r w:rsidR="005277A0" w:rsidRPr="005277A0">
        <w:rPr>
          <w:sz w:val="24"/>
          <w:lang w:val="pl-PL"/>
        </w:rPr>
        <w:t xml:space="preserve"> </w:t>
      </w:r>
      <w:r w:rsidR="005277A0" w:rsidRPr="005277A0">
        <w:rPr>
          <w:sz w:val="24"/>
          <w:lang w:val="pl-PL"/>
        </w:rPr>
        <w:tab/>
      </w:r>
      <w:r w:rsidRPr="005277A0">
        <w:rPr>
          <w:sz w:val="24"/>
          <w:lang w:val="pl-PL"/>
        </w:rPr>
        <w:t>Dz.U. L 135 z 30.5.1991, s. 40, ELI: http</w:t>
      </w:r>
      <w:proofErr w:type="gramStart"/>
      <w:r w:rsidRPr="005277A0">
        <w:rPr>
          <w:sz w:val="24"/>
          <w:lang w:val="pl-PL"/>
        </w:rPr>
        <w:t>://data</w:t>
      </w:r>
      <w:proofErr w:type="gramEnd"/>
      <w:r w:rsidRPr="005277A0">
        <w:rPr>
          <w:sz w:val="24"/>
          <w:lang w:val="pl-PL"/>
        </w:rPr>
        <w:t>.</w:t>
      </w:r>
      <w:proofErr w:type="gramStart"/>
      <w:r w:rsidRPr="005277A0">
        <w:rPr>
          <w:sz w:val="24"/>
          <w:lang w:val="pl-PL"/>
        </w:rPr>
        <w:t>europa</w:t>
      </w:r>
      <w:proofErr w:type="gramEnd"/>
      <w:r w:rsidRPr="005277A0">
        <w:rPr>
          <w:sz w:val="24"/>
          <w:lang w:val="pl-PL"/>
        </w:rPr>
        <w:t>.</w:t>
      </w:r>
      <w:proofErr w:type="gramStart"/>
      <w:r w:rsidRPr="005277A0">
        <w:rPr>
          <w:sz w:val="24"/>
          <w:lang w:val="pl-PL"/>
        </w:rPr>
        <w:t>eu</w:t>
      </w:r>
      <w:proofErr w:type="gramEnd"/>
      <w:r w:rsidRPr="005277A0">
        <w:rPr>
          <w:sz w:val="24"/>
          <w:lang w:val="pl-PL"/>
        </w:rPr>
        <w:t>/eli/dir/1991/271/oj.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77A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77A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77A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57/2024"/>
    <w:docVar w:name="dvlangue" w:val="PL"/>
    <w:docVar w:name="dvnumam" w:val="0"/>
    <w:docVar w:name="dvpe" w:val="764.075"/>
    <w:docVar w:name="dvtitre" w:val="Rezolucja Parlamentu Europejskiego z dnia  2024 r. w sprawie niszczycielskich powodzi w Europie Środkowej i Wschodniej, ofiar śmiertelnych oraz gotowości UE do działania w razie takich klęsk spotęgowanych przez zmianę klimatu(2024/2817(RSP))"/>
  </w:docVars>
  <w:rsids>
    <w:rsidRoot w:val="007B7C87"/>
    <w:rsid w:val="00002272"/>
    <w:rsid w:val="00064002"/>
    <w:rsid w:val="00066AFF"/>
    <w:rsid w:val="000677B9"/>
    <w:rsid w:val="000831BA"/>
    <w:rsid w:val="000A42CC"/>
    <w:rsid w:val="000E7DD9"/>
    <w:rsid w:val="000F0382"/>
    <w:rsid w:val="0010095E"/>
    <w:rsid w:val="00125B37"/>
    <w:rsid w:val="00187494"/>
    <w:rsid w:val="001F32AE"/>
    <w:rsid w:val="002767FF"/>
    <w:rsid w:val="002B18FE"/>
    <w:rsid w:val="002B5493"/>
    <w:rsid w:val="002D1EE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77A0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7C8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395E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71B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DA196A"/>
  <w15:chartTrackingRefBased/>
  <w15:docId w15:val="{B4AAF18E-D36F-43B4-96B0-5AD89CD4D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66AFF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066AFF"/>
    <w:pPr>
      <w:spacing w:before="480" w:after="240"/>
    </w:pPr>
  </w:style>
  <w:style w:type="character" w:styleId="Hyperlink">
    <w:name w:val="Hyperlink"/>
    <w:basedOn w:val="DefaultParagraphFont"/>
    <w:unhideWhenUsed/>
    <w:rsid w:val="00066AFF"/>
    <w:rPr>
      <w:color w:val="0563C1" w:themeColor="hyperlink"/>
      <w:u w:val="single"/>
    </w:rPr>
  </w:style>
  <w:style w:type="character" w:customStyle="1" w:styleId="EPCommaChar">
    <w:name w:val="EPComma Char"/>
    <w:basedOn w:val="DefaultParagraphFont"/>
    <w:link w:val="EPComma"/>
    <w:rsid w:val="00066AFF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E7788-F4D9-4710-9A4E-2170AC556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3244</Words>
  <Characters>21536</Characters>
  <Application>Microsoft Office Word</Application>
  <DocSecurity>0</DocSecurity>
  <Lines>307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2024-10-17T07:49:00Z</dcterms:created>
  <dcterms:modified xsi:type="dcterms:W3CDTF">2024-10-17T07:49:00Z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B10-0057/2024</vt:lpwstr>
  </property>
  <property fmtid="{D5CDD505-2E9C-101B-9397-08002B2CF9AE}" pid="4" name="&lt;Type&gt;">
    <vt:lpwstr>RR</vt:lpwstr>
  </property>
</Properties>
</file>