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8D9" w14:paraId="67502DE3" w14:textId="77777777" w:rsidTr="0010095E">
        <w:trPr>
          <w:trHeight w:hRule="exact" w:val="1418"/>
        </w:trPr>
        <w:tc>
          <w:tcPr>
            <w:tcW w:w="6804" w:type="dxa"/>
            <w:shd w:val="clear" w:color="auto" w:fill="auto"/>
            <w:vAlign w:val="center"/>
          </w:tcPr>
          <w:p w14:paraId="06B7B456" w14:textId="77777777" w:rsidR="00751A4A" w:rsidRPr="000008D9" w:rsidRDefault="000728D8" w:rsidP="0010095E">
            <w:pPr>
              <w:pStyle w:val="EPName"/>
            </w:pPr>
            <w:r w:rsidRPr="000008D9">
              <w:t>Europa-Parlamentet</w:t>
            </w:r>
          </w:p>
          <w:p w14:paraId="508DFA58" w14:textId="77777777" w:rsidR="00751A4A" w:rsidRPr="000008D9" w:rsidRDefault="005F1B17" w:rsidP="005F1B17">
            <w:pPr>
              <w:pStyle w:val="EPTerm"/>
              <w:rPr>
                <w:rStyle w:val="HideTWBExt"/>
                <w:noProof w:val="0"/>
                <w:vanish w:val="0"/>
                <w:color w:val="auto"/>
              </w:rPr>
            </w:pPr>
            <w:r w:rsidRPr="000008D9">
              <w:t>2024</w:t>
            </w:r>
            <w:r w:rsidR="00817416" w:rsidRPr="000008D9">
              <w:t>-202</w:t>
            </w:r>
            <w:r w:rsidRPr="000008D9">
              <w:t>9</w:t>
            </w:r>
          </w:p>
        </w:tc>
        <w:tc>
          <w:tcPr>
            <w:tcW w:w="2268" w:type="dxa"/>
            <w:shd w:val="clear" w:color="auto" w:fill="auto"/>
          </w:tcPr>
          <w:p w14:paraId="71C9D729" w14:textId="77777777" w:rsidR="00751A4A" w:rsidRPr="000008D9" w:rsidRDefault="00187494" w:rsidP="0010095E">
            <w:pPr>
              <w:pStyle w:val="EPLogo"/>
            </w:pPr>
            <w:r w:rsidRPr="000008D9">
              <w:rPr>
                <w:noProof/>
                <w:lang w:eastAsia="da-DK"/>
              </w:rPr>
              <w:drawing>
                <wp:inline distT="0" distB="0" distL="0" distR="0" wp14:anchorId="38804F81" wp14:editId="2D76D4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FD502F" w14:textId="77777777" w:rsidR="00D058B8" w:rsidRPr="000008D9" w:rsidRDefault="00D058B8" w:rsidP="004C5D52">
      <w:pPr>
        <w:pStyle w:val="LineTop"/>
      </w:pPr>
    </w:p>
    <w:p w14:paraId="55F9D212" w14:textId="77777777" w:rsidR="00680577" w:rsidRPr="000008D9" w:rsidRDefault="000728D8" w:rsidP="00680577">
      <w:pPr>
        <w:pStyle w:val="EPBodyTA1"/>
      </w:pPr>
      <w:r w:rsidRPr="000008D9">
        <w:t>VEDTAGNE TEKSTER</w:t>
      </w:r>
    </w:p>
    <w:p w14:paraId="6BFCE2D0" w14:textId="77777777" w:rsidR="00D058B8" w:rsidRPr="000008D9" w:rsidRDefault="00D058B8" w:rsidP="00D058B8">
      <w:pPr>
        <w:pStyle w:val="LineBottom"/>
      </w:pPr>
    </w:p>
    <w:p w14:paraId="5F964371" w14:textId="6CA61B1B" w:rsidR="000728D8" w:rsidRPr="000008D9" w:rsidRDefault="000728D8" w:rsidP="000728D8">
      <w:pPr>
        <w:pStyle w:val="ATHeading1"/>
      </w:pPr>
      <w:bookmarkStart w:id="0" w:name="TANumber"/>
      <w:r w:rsidRPr="000008D9">
        <w:t>P10_</w:t>
      </w:r>
      <w:proofErr w:type="gramStart"/>
      <w:r w:rsidRPr="000008D9">
        <w:t>TA(</w:t>
      </w:r>
      <w:proofErr w:type="gramEnd"/>
      <w:r w:rsidRPr="000008D9">
        <w:t>2024)00</w:t>
      </w:r>
      <w:r w:rsidR="00245A01">
        <w:t>15</w:t>
      </w:r>
      <w:bookmarkEnd w:id="0"/>
    </w:p>
    <w:p w14:paraId="22A625E3" w14:textId="77777777" w:rsidR="000728D8" w:rsidRPr="000008D9" w:rsidRDefault="009C3ED7" w:rsidP="000728D8">
      <w:pPr>
        <w:pStyle w:val="ATHeading2"/>
      </w:pPr>
      <w:bookmarkStart w:id="1" w:name="title"/>
      <w:r>
        <w:t>Anvendelse af D</w:t>
      </w:r>
      <w:r w:rsidR="000728D8" w:rsidRPr="000008D9">
        <w:t>en Europæiske Unions Solidaritetsfond med henblik på at yde bistand til Italien, Slovenien, Østrig, Grækenland og Frankrig i forbindelse med seks naturkatastrofer i 2023</w:t>
      </w:r>
      <w:bookmarkEnd w:id="1"/>
    </w:p>
    <w:p w14:paraId="5B083527" w14:textId="77777777" w:rsidR="000728D8" w:rsidRPr="000008D9" w:rsidRDefault="000728D8" w:rsidP="000728D8">
      <w:pPr>
        <w:rPr>
          <w:i/>
          <w:vanish/>
        </w:rPr>
      </w:pPr>
      <w:r w:rsidRPr="000008D9">
        <w:rPr>
          <w:i/>
        </w:rPr>
        <w:fldChar w:fldCharType="begin"/>
      </w:r>
      <w:r w:rsidRPr="000008D9">
        <w:rPr>
          <w:i/>
        </w:rPr>
        <w:instrText xml:space="preserve"> TC"(</w:instrText>
      </w:r>
      <w:bookmarkStart w:id="2" w:name="DocNumber"/>
      <w:r w:rsidRPr="000008D9">
        <w:rPr>
          <w:i/>
        </w:rPr>
        <w:instrText>A10-0002/2024</w:instrText>
      </w:r>
      <w:bookmarkEnd w:id="2"/>
      <w:r w:rsidRPr="000008D9">
        <w:rPr>
          <w:i/>
        </w:rPr>
        <w:instrText xml:space="preserve"> - Ordfører: Georgios </w:instrText>
      </w:r>
      <w:proofErr w:type="spellStart"/>
      <w:r w:rsidRPr="000008D9">
        <w:rPr>
          <w:i/>
        </w:rPr>
        <w:instrText>Aftias</w:instrText>
      </w:r>
      <w:proofErr w:type="spellEnd"/>
      <w:r w:rsidRPr="000008D9">
        <w:rPr>
          <w:i/>
        </w:rPr>
        <w:instrText xml:space="preserve">)"\l3 \n&gt; \* MERGEFORMAT </w:instrText>
      </w:r>
      <w:r w:rsidRPr="000008D9">
        <w:rPr>
          <w:i/>
        </w:rPr>
        <w:fldChar w:fldCharType="end"/>
      </w:r>
    </w:p>
    <w:p w14:paraId="64EC0224" w14:textId="77777777" w:rsidR="000728D8" w:rsidRPr="000008D9" w:rsidRDefault="000728D8" w:rsidP="000728D8">
      <w:pPr>
        <w:rPr>
          <w:vanish/>
        </w:rPr>
      </w:pPr>
      <w:bookmarkStart w:id="3" w:name="Commission"/>
      <w:r w:rsidRPr="000008D9">
        <w:rPr>
          <w:vanish/>
        </w:rPr>
        <w:t>Budgetudvalget</w:t>
      </w:r>
      <w:bookmarkEnd w:id="3"/>
    </w:p>
    <w:p w14:paraId="4D1B0B46" w14:textId="77777777" w:rsidR="000728D8" w:rsidRPr="000008D9" w:rsidRDefault="000728D8" w:rsidP="000728D8">
      <w:pPr>
        <w:rPr>
          <w:vanish/>
        </w:rPr>
      </w:pPr>
      <w:bookmarkStart w:id="4" w:name="PE"/>
      <w:r w:rsidRPr="000008D9">
        <w:rPr>
          <w:vanish/>
        </w:rPr>
        <w:t>PE763.077</w:t>
      </w:r>
      <w:bookmarkEnd w:id="4"/>
    </w:p>
    <w:p w14:paraId="218C615C" w14:textId="77777777" w:rsidR="000728D8" w:rsidRPr="000008D9" w:rsidRDefault="000728D8" w:rsidP="000728D8">
      <w:pPr>
        <w:pStyle w:val="ATHeading3"/>
      </w:pPr>
      <w:bookmarkStart w:id="5" w:name="Sujet"/>
      <w:r w:rsidRPr="000008D9">
        <w:t xml:space="preserve">Europa-Parlamentets beslutning af </w:t>
      </w:r>
      <w:r w:rsidR="009C3ED7">
        <w:t>8. oktober</w:t>
      </w:r>
      <w:r w:rsidRPr="000008D9">
        <w:t xml:space="preserve"> 2024 om forslag til Europa-Parlamentets og Rådets afgørelse om anvendelse af Den Europæiske Unions Solidaritetsfond med henblik på at yde bistand til Italien, Slovenien, Østrig, Grækenland og Frankrig i forbindelse med seks naturkatastrofer i 2023</w:t>
      </w:r>
      <w:bookmarkEnd w:id="5"/>
      <w:r w:rsidRPr="000008D9">
        <w:t xml:space="preserve"> </w:t>
      </w:r>
      <w:bookmarkStart w:id="6" w:name="References"/>
      <w:r w:rsidRPr="000008D9">
        <w:t>(</w:t>
      </w:r>
      <w:proofErr w:type="gramStart"/>
      <w:r w:rsidRPr="000008D9">
        <w:t>COM(</w:t>
      </w:r>
      <w:proofErr w:type="gramEnd"/>
      <w:r w:rsidRPr="000008D9">
        <w:t>2024)0325 – C10-0088/2024 – 2024/0212(BUD))</w:t>
      </w:r>
      <w:bookmarkEnd w:id="6"/>
    </w:p>
    <w:p w14:paraId="217FD39A" w14:textId="77777777" w:rsidR="002C59CA" w:rsidRPr="000008D9" w:rsidRDefault="002C59CA" w:rsidP="002C59CA">
      <w:pPr>
        <w:pStyle w:val="EPComma"/>
      </w:pPr>
      <w:bookmarkStart w:id="7" w:name="TextBodyBegin"/>
      <w:bookmarkEnd w:id="7"/>
      <w:r w:rsidRPr="000008D9">
        <w:rPr>
          <w:i/>
          <w:iCs/>
        </w:rPr>
        <w:t>Europa-Parlamentet,</w:t>
      </w:r>
    </w:p>
    <w:p w14:paraId="3FE571DE" w14:textId="77777777" w:rsidR="002C59CA" w:rsidRPr="000008D9" w:rsidRDefault="002C59CA" w:rsidP="002C59CA">
      <w:pPr>
        <w:pStyle w:val="NormalHanging12a"/>
      </w:pPr>
      <w:r w:rsidRPr="000008D9">
        <w:t>–</w:t>
      </w:r>
      <w:r w:rsidRPr="000008D9">
        <w:tab/>
        <w:t>der henviser til Kommissionens forslag til Europa-Parlamentet og Rådet (</w:t>
      </w:r>
      <w:proofErr w:type="gramStart"/>
      <w:r w:rsidRPr="000008D9">
        <w:t>COM(</w:t>
      </w:r>
      <w:proofErr w:type="gramEnd"/>
      <w:r w:rsidRPr="000008D9">
        <w:t>2024)0325 – C10-0088/2024),</w:t>
      </w:r>
    </w:p>
    <w:p w14:paraId="604E30F5" w14:textId="77777777" w:rsidR="002C59CA" w:rsidRPr="000008D9" w:rsidRDefault="002C59CA" w:rsidP="002C59CA">
      <w:pPr>
        <w:pStyle w:val="NormalHanging12a"/>
      </w:pPr>
      <w:r w:rsidRPr="000008D9">
        <w:rPr>
          <w:b/>
          <w:i/>
        </w:rPr>
        <w:t>–</w:t>
      </w:r>
      <w:r w:rsidRPr="000008D9">
        <w:rPr>
          <w:b/>
          <w:i/>
        </w:rPr>
        <w:tab/>
      </w:r>
      <w:r w:rsidRPr="000008D9">
        <w:t>der henviser til artikel 107, stk. 2, i traktaten om Den Europæiske Unions funktionsmåde,</w:t>
      </w:r>
    </w:p>
    <w:p w14:paraId="32B902A4" w14:textId="77777777" w:rsidR="002C59CA" w:rsidRPr="000008D9" w:rsidRDefault="002C59CA" w:rsidP="002C59CA">
      <w:pPr>
        <w:pStyle w:val="NormalHanging12a"/>
      </w:pPr>
      <w:r w:rsidRPr="000008D9">
        <w:t>–</w:t>
      </w:r>
      <w:r w:rsidRPr="000008D9">
        <w:tab/>
        <w:t>der henviser til Rådets forordning (EF) nr. 2012/2002 af 11. november 2002 om oprettelse af Den Europæiske Unions Solidaritetsfond</w:t>
      </w:r>
      <w:r w:rsidRPr="000008D9">
        <w:rPr>
          <w:rStyle w:val="FootnoteReference"/>
        </w:rPr>
        <w:footnoteReference w:id="1"/>
      </w:r>
      <w:r w:rsidRPr="000008D9">
        <w:t>,</w:t>
      </w:r>
    </w:p>
    <w:p w14:paraId="7EA72D09" w14:textId="77777777" w:rsidR="002C59CA" w:rsidRPr="000008D9" w:rsidRDefault="002C59CA" w:rsidP="002C59CA">
      <w:pPr>
        <w:pStyle w:val="NormalHanging12a"/>
      </w:pPr>
      <w:r w:rsidRPr="000008D9">
        <w:t>–</w:t>
      </w:r>
      <w:r w:rsidRPr="000008D9">
        <w:tab/>
        <w:t xml:space="preserve">der henviser til Rådets forordning (EU, </w:t>
      </w:r>
      <w:proofErr w:type="spellStart"/>
      <w:r w:rsidRPr="000008D9">
        <w:t>Euratom</w:t>
      </w:r>
      <w:proofErr w:type="spellEnd"/>
      <w:r w:rsidRPr="000008D9">
        <w:t>) 2020/2093 af 17. december 2020 om fastlæggelse af den flerårige finansielle ramme for årene 2021-2027</w:t>
      </w:r>
      <w:r w:rsidRPr="000008D9">
        <w:rPr>
          <w:rStyle w:val="FootnoteReference"/>
        </w:rPr>
        <w:footnoteReference w:id="2"/>
      </w:r>
      <w:r w:rsidRPr="000008D9">
        <w:t>, særlig artikel 9,</w:t>
      </w:r>
    </w:p>
    <w:p w14:paraId="6E779BD7" w14:textId="77777777" w:rsidR="002C59CA" w:rsidRPr="000008D9" w:rsidRDefault="002C59CA" w:rsidP="002C59CA">
      <w:pPr>
        <w:pStyle w:val="NormalHanging12a"/>
      </w:pPr>
      <w:r w:rsidRPr="000008D9">
        <w:t>–</w:t>
      </w:r>
      <w:r w:rsidRPr="000008D9">
        <w:tab/>
        <w:t xml:space="preserve">der henviser til den </w:t>
      </w:r>
      <w:proofErr w:type="spellStart"/>
      <w:r w:rsidRPr="000008D9">
        <w:t>interinstitutionelle</w:t>
      </w:r>
      <w:proofErr w:type="spellEnd"/>
      <w:r w:rsidRPr="000008D9">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0008D9">
        <w:rPr>
          <w:rStyle w:val="FootnoteReference"/>
        </w:rPr>
        <w:footnoteReference w:id="3"/>
      </w:r>
      <w:r w:rsidRPr="000008D9">
        <w:t>, særlig artikel 10,</w:t>
      </w:r>
    </w:p>
    <w:p w14:paraId="7DA284C2" w14:textId="77777777" w:rsidR="002C59CA" w:rsidRPr="000008D9" w:rsidRDefault="002C59CA" w:rsidP="002C59CA">
      <w:pPr>
        <w:pStyle w:val="NormalHanging12a"/>
      </w:pPr>
      <w:r w:rsidRPr="000008D9">
        <w:t>–</w:t>
      </w:r>
      <w:r w:rsidRPr="000008D9">
        <w:tab/>
        <w:t xml:space="preserve">der henviser til Europa-Parlamentets og Rådets forordning (EU) 2021/1058 af 24. juni 2021 om Den Europæiske Fond for Regionaludvikling og </w:t>
      </w:r>
      <w:r w:rsidRPr="000008D9">
        <w:lastRenderedPageBreak/>
        <w:t>Samhørighedsfonden</w:t>
      </w:r>
      <w:r w:rsidRPr="000008D9">
        <w:rPr>
          <w:rStyle w:val="FootnoteReference"/>
        </w:rPr>
        <w:footnoteReference w:id="4"/>
      </w:r>
      <w:r w:rsidRPr="000008D9">
        <w:t xml:space="preserve">, </w:t>
      </w:r>
    </w:p>
    <w:p w14:paraId="5ECBF7D7" w14:textId="77777777" w:rsidR="002C59CA" w:rsidRPr="000008D9" w:rsidRDefault="002C59CA" w:rsidP="002C59CA">
      <w:pPr>
        <w:pStyle w:val="NormalWeb"/>
        <w:shd w:val="clear" w:color="auto" w:fill="FFFFFF"/>
        <w:ind w:left="567" w:hanging="567"/>
      </w:pPr>
      <w:r w:rsidRPr="000008D9">
        <w:t>–</w:t>
      </w:r>
      <w:r w:rsidRPr="000008D9">
        <w:tab/>
        <w:t xml:space="preserve">der henviser til sin beslutning af 27. februar 2024 om udkast til Rådets forordning om ændring af forordning (EU, </w:t>
      </w:r>
      <w:proofErr w:type="spellStart"/>
      <w:r w:rsidRPr="000008D9">
        <w:t>Euratom</w:t>
      </w:r>
      <w:proofErr w:type="spellEnd"/>
      <w:r w:rsidRPr="000008D9">
        <w:t>) 2020/2093 om fastlæggelse af den flerårige finansielle ramme for årene 2021-2027</w:t>
      </w:r>
      <w:r w:rsidRPr="000008D9">
        <w:rPr>
          <w:rStyle w:val="FootnoteReference"/>
        </w:rPr>
        <w:footnoteReference w:id="5"/>
      </w:r>
      <w:r w:rsidRPr="000008D9">
        <w:t>,</w:t>
      </w:r>
    </w:p>
    <w:p w14:paraId="51EFEC90" w14:textId="77777777" w:rsidR="002C59CA" w:rsidRPr="000008D9" w:rsidRDefault="002C59CA" w:rsidP="002C59CA">
      <w:pPr>
        <w:pStyle w:val="NormalWeb"/>
        <w:shd w:val="clear" w:color="auto" w:fill="FFFFFF"/>
        <w:ind w:left="567" w:hanging="567"/>
      </w:pPr>
      <w:r w:rsidRPr="000008D9">
        <w:t>–</w:t>
      </w:r>
      <w:r w:rsidRPr="000008D9">
        <w:rPr>
          <w:b/>
          <w:i/>
        </w:rPr>
        <w:tab/>
      </w:r>
      <w:r w:rsidRPr="000008D9">
        <w:t>der henviser til sin beslutning af 20. oktober 2021 om effektiviteten af medlemsstaternes anvendelse af midlerne fra Den Europæiske Unions Solidaritetsfond i tilfælde af naturkatastrofer</w:t>
      </w:r>
      <w:r w:rsidRPr="000008D9">
        <w:rPr>
          <w:rStyle w:val="FootnoteReference"/>
        </w:rPr>
        <w:footnoteReference w:id="6"/>
      </w:r>
      <w:r w:rsidRPr="000008D9">
        <w:t>,</w:t>
      </w:r>
    </w:p>
    <w:p w14:paraId="7C533B02" w14:textId="77777777" w:rsidR="002C59CA" w:rsidRPr="000008D9" w:rsidRDefault="002C59CA" w:rsidP="002C59CA">
      <w:pPr>
        <w:pStyle w:val="NormalWeb"/>
        <w:shd w:val="clear" w:color="auto" w:fill="FFFFFF"/>
        <w:ind w:left="567" w:hanging="567"/>
      </w:pPr>
      <w:r w:rsidRPr="000008D9">
        <w:t>–</w:t>
      </w:r>
      <w:r w:rsidRPr="000008D9">
        <w:rPr>
          <w:b/>
          <w:i/>
        </w:rPr>
        <w:tab/>
      </w:r>
      <w:r w:rsidRPr="000008D9">
        <w:t>der henviser til sin beslutning af 18. maj 2021 om revisionen af Den Europæiske Unions Solidaritetsfond</w:t>
      </w:r>
      <w:r w:rsidRPr="000008D9">
        <w:rPr>
          <w:rStyle w:val="FootnoteReference"/>
        </w:rPr>
        <w:footnoteReference w:id="7"/>
      </w:r>
      <w:r w:rsidRPr="000008D9">
        <w:t>,</w:t>
      </w:r>
    </w:p>
    <w:p w14:paraId="200BAEBE" w14:textId="77777777" w:rsidR="002C59CA" w:rsidRPr="000008D9" w:rsidRDefault="002C59CA" w:rsidP="002C59CA">
      <w:pPr>
        <w:pStyle w:val="NormalHanging12a"/>
      </w:pPr>
      <w:r w:rsidRPr="000008D9">
        <w:rPr>
          <w:b/>
          <w:i/>
        </w:rPr>
        <w:t>–</w:t>
      </w:r>
      <w:r w:rsidRPr="000008D9">
        <w:rPr>
          <w:b/>
          <w:i/>
        </w:rPr>
        <w:tab/>
      </w:r>
      <w:r w:rsidRPr="000008D9">
        <w:t>der henviser til Det Europæiske Miljøagenturs rapport nr. 1/2024 – Europæisk klimarisikovurdering (EUCRA),</w:t>
      </w:r>
    </w:p>
    <w:p w14:paraId="7B3B81F7" w14:textId="77777777" w:rsidR="002C59CA" w:rsidRPr="000008D9" w:rsidRDefault="002C59CA" w:rsidP="002C59CA">
      <w:pPr>
        <w:pStyle w:val="NormalHanging12a"/>
      </w:pPr>
      <w:r w:rsidRPr="000008D9">
        <w:t>–</w:t>
      </w:r>
      <w:r w:rsidRPr="000008D9">
        <w:tab/>
        <w:t>der henviser til betænkning fra Budgetudvalget (A10-0002/2024),</w:t>
      </w:r>
    </w:p>
    <w:p w14:paraId="34F5E3DB" w14:textId="77777777" w:rsidR="002C59CA" w:rsidRPr="000008D9" w:rsidRDefault="002C59CA" w:rsidP="002C59CA">
      <w:pPr>
        <w:pStyle w:val="NormalWeb"/>
        <w:shd w:val="clear" w:color="auto" w:fill="FFFFFF"/>
        <w:ind w:left="567" w:hanging="567"/>
      </w:pPr>
      <w:r w:rsidRPr="000008D9">
        <w:t>A.</w:t>
      </w:r>
      <w:r w:rsidRPr="000008D9">
        <w:tab/>
        <w:t>der henviser til, at regionen Emilia-</w:t>
      </w:r>
      <w:proofErr w:type="spellStart"/>
      <w:r w:rsidRPr="000008D9">
        <w:t>Romagna</w:t>
      </w:r>
      <w:proofErr w:type="spellEnd"/>
      <w:r w:rsidRPr="000008D9">
        <w:t xml:space="preserve"> i Italien mellem den 1. og den 17. maj 2023 blev ramt af ekstremt stærk nedbør, hvilket førte til oversvømmelser, der resulterede i samlede direkte skader, som de italienske myndigheder anslog til 8,5 mia. EUR;</w:t>
      </w:r>
    </w:p>
    <w:p w14:paraId="58331D9A" w14:textId="77777777" w:rsidR="002C59CA" w:rsidRPr="000008D9" w:rsidRDefault="002C59CA" w:rsidP="002C59CA">
      <w:pPr>
        <w:pStyle w:val="NormalHanging12a"/>
      </w:pPr>
      <w:r w:rsidRPr="000008D9">
        <w:t>B.</w:t>
      </w:r>
      <w:r w:rsidRPr="000008D9">
        <w:tab/>
        <w:t>der henviser til, at Slovenien mellem den 3. og den 6. august 2023 oplevede sin til dato værste naturkatastrofe, da det blev ramt af kraftige regnskyl, som førte til oversvømmelser i hele landet og resulterede i samlede direkte skader, som Kommissionen anslog til 7,3 mia. EUR;</w:t>
      </w:r>
    </w:p>
    <w:p w14:paraId="3C037D01" w14:textId="77777777" w:rsidR="002C59CA" w:rsidRPr="000008D9" w:rsidRDefault="002C59CA" w:rsidP="002C59CA">
      <w:pPr>
        <w:pStyle w:val="NormalWeb"/>
        <w:shd w:val="clear" w:color="auto" w:fill="FFFFFF"/>
        <w:ind w:left="567" w:hanging="567"/>
      </w:pPr>
      <w:r w:rsidRPr="000008D9">
        <w:t>C.</w:t>
      </w:r>
      <w:r w:rsidRPr="000008D9">
        <w:tab/>
        <w:t>der henviser til, at Østrig mellem den 3. og den 6. august 2023 blev ramt af kraftige regnskyl, hvilket førte til oversvømmelser i Østrigs sydlige regioner, der resulterede i samlede direkte skader, som de østrigske myndigheder anslog til 208 mio. EUR;</w:t>
      </w:r>
    </w:p>
    <w:p w14:paraId="6CDF63F4" w14:textId="77777777" w:rsidR="002C59CA" w:rsidRPr="000008D9" w:rsidRDefault="002C59CA" w:rsidP="002C59CA">
      <w:pPr>
        <w:pStyle w:val="NormalWeb"/>
        <w:shd w:val="clear" w:color="auto" w:fill="FFFFFF"/>
        <w:ind w:left="567" w:hanging="567"/>
      </w:pPr>
      <w:r w:rsidRPr="000008D9">
        <w:t>D.</w:t>
      </w:r>
      <w:r w:rsidRPr="000008D9">
        <w:tab/>
        <w:t>der henviser til, at Grækenland mellem den 4. og den 11. september 2023 blev ramt af middelhavsstormen "Daniel", som forårsagede kraftige regnskyl og oversvømmelser flere steder i det centrale Grækenland, navnlig i regionen Thessalien, hvilket resulterede i samlede direkte skader, som de græske myndigheder anslog til 2,3 mia. EUR;</w:t>
      </w:r>
    </w:p>
    <w:p w14:paraId="510A8A9D" w14:textId="77777777" w:rsidR="002C59CA" w:rsidRPr="000008D9" w:rsidRDefault="002C59CA" w:rsidP="002C59CA">
      <w:pPr>
        <w:pStyle w:val="NormalWeb"/>
        <w:shd w:val="clear" w:color="auto" w:fill="FFFFFF"/>
        <w:ind w:left="567" w:hanging="567"/>
      </w:pPr>
      <w:r w:rsidRPr="000008D9">
        <w:t>E.</w:t>
      </w:r>
      <w:r w:rsidRPr="000008D9">
        <w:tab/>
        <w:t>der henviser til, at regionen Toscana i Italien mellem den 25. oktober og den 10. november 2023 blev ramt af stærk nedbør, hvilket førte til pludselige, kraftige oversvømmelser, der resulterede i samlede direkte skader, som de italienske myndigheder anslog til 2,7 mia. EUR;</w:t>
      </w:r>
    </w:p>
    <w:p w14:paraId="1C74965C" w14:textId="77777777" w:rsidR="002C59CA" w:rsidRPr="000008D9" w:rsidRDefault="002C59CA" w:rsidP="002C59CA">
      <w:pPr>
        <w:pStyle w:val="NormalWeb"/>
        <w:shd w:val="clear" w:color="auto" w:fill="FFFFFF"/>
        <w:ind w:left="567" w:hanging="567"/>
      </w:pPr>
      <w:r w:rsidRPr="000008D9">
        <w:t>F.</w:t>
      </w:r>
      <w:r w:rsidRPr="000008D9">
        <w:tab/>
        <w:t>der henviser til, at den tidligere region Nord-Pas-de-</w:t>
      </w:r>
      <w:proofErr w:type="spellStart"/>
      <w:r w:rsidRPr="000008D9">
        <w:t>Calais</w:t>
      </w:r>
      <w:proofErr w:type="spellEnd"/>
      <w:r w:rsidRPr="000008D9">
        <w:t xml:space="preserve"> i regionen Hauts-de-France i Frankrig mellem den 2. og den 9. november 2023 blev ramt af kraftige regnskyl, hvilket </w:t>
      </w:r>
      <w:r w:rsidRPr="000008D9">
        <w:lastRenderedPageBreak/>
        <w:t>førte til oversvømmelser, der resulterede i samlede direkte skader, som de franske myndigheder anslog til 1,9 mia. EUR;</w:t>
      </w:r>
    </w:p>
    <w:p w14:paraId="3FB8FB6C" w14:textId="77777777" w:rsidR="002C59CA" w:rsidRPr="000008D9" w:rsidRDefault="002C59CA" w:rsidP="002C59CA">
      <w:pPr>
        <w:spacing w:after="240"/>
        <w:ind w:left="567" w:hanging="567"/>
        <w:rPr>
          <w:szCs w:val="24"/>
          <w:shd w:val="clear" w:color="auto" w:fill="FFFFFF"/>
        </w:rPr>
      </w:pPr>
      <w:r w:rsidRPr="000008D9">
        <w:t>1.</w:t>
      </w:r>
      <w:r w:rsidRPr="000008D9">
        <w:tab/>
        <w:t>udtrykker sin</w:t>
      </w:r>
      <w:r w:rsidRPr="000008D9">
        <w:rPr>
          <w:shd w:val="clear" w:color="auto" w:fill="FFFFFF"/>
        </w:rPr>
        <w:t xml:space="preserve"> dybeste solidaritet med alle ofrene, deres familier og alle de personer, der er berørt af de ødelæggende oversvømmelser i Italien, Slovenien, Østrig, Grækenland og Frankrig, samt med de nationale, regionale og lokale myndigheder, der er involveret i nødhjælpsindsatsen;</w:t>
      </w:r>
    </w:p>
    <w:p w14:paraId="36923A52" w14:textId="77777777" w:rsidR="002C59CA" w:rsidRPr="000008D9" w:rsidRDefault="002C59CA" w:rsidP="002C59CA">
      <w:pPr>
        <w:spacing w:after="240"/>
        <w:ind w:left="567" w:hanging="567"/>
      </w:pPr>
      <w:r w:rsidRPr="000008D9">
        <w:t>2.</w:t>
      </w:r>
      <w:r w:rsidRPr="000008D9">
        <w:tab/>
        <w:t>hilser afgørelsen velkommen, idet den giver materiel og synlig form til Unionens solidaritet med sine borgere og med regionerne i Italien, Slovenien, Østrig, Grækenland og Frankrig;</w:t>
      </w:r>
    </w:p>
    <w:p w14:paraId="22D43EB2" w14:textId="77777777" w:rsidR="002C59CA" w:rsidRPr="000008D9" w:rsidRDefault="002C59CA" w:rsidP="002C59CA">
      <w:pPr>
        <w:spacing w:after="240"/>
        <w:ind w:left="567" w:hanging="567"/>
      </w:pPr>
      <w:r w:rsidRPr="000008D9">
        <w:t>3.</w:t>
      </w:r>
      <w:r w:rsidRPr="000008D9">
        <w:tab/>
        <w:t>understreger endnu engang betydningen af, at offentligheden oplyses om de konkrete fordele, som Den Europæiske Unions Solidaritetsfond (EUSF) har bragt med sig, også med hensyn til at øge borgernes bevidsthed om Unionens værktøjer og programmer yderligere;</w:t>
      </w:r>
    </w:p>
    <w:p w14:paraId="43760383" w14:textId="77777777" w:rsidR="002C59CA" w:rsidRPr="000008D9" w:rsidRDefault="002C59CA" w:rsidP="002C59CA">
      <w:pPr>
        <w:spacing w:after="240"/>
        <w:ind w:left="567" w:hanging="567"/>
      </w:pPr>
      <w:r w:rsidRPr="000008D9">
        <w:t>4.</w:t>
      </w:r>
      <w:r w:rsidRPr="000008D9">
        <w:tab/>
        <w:t xml:space="preserve">fremhæver det stigende antal alvorlige og ødelæggende naturkatastrofer i Europa og opfordrer medlemsstaterne og Kommissionen til at investere i foranstaltninger til modvirkning af og tilpasning til klimaændringer for at undgå menneskelige og økonomiske tab; mener, at budgettet for EUSF eller dens ækvivalent bør udvides i lyset af Kommissionens kommende forslag om den nye flerårige finansielle ramme og de efterfølgende </w:t>
      </w:r>
      <w:proofErr w:type="spellStart"/>
      <w:r w:rsidRPr="000008D9">
        <w:t>interinstitutionelle</w:t>
      </w:r>
      <w:proofErr w:type="spellEnd"/>
      <w:r w:rsidRPr="000008D9">
        <w:t xml:space="preserve"> forhandlinger; opfordrer indtrængende Kommissionen til at øge budgettet for den europæiske solidaritetsreserve og sikre, at det samlede finansieringsbeløb og tildelingsmetoderne sikrer den optimale effektivitet af EUSF;</w:t>
      </w:r>
    </w:p>
    <w:p w14:paraId="2171920E" w14:textId="77777777" w:rsidR="002C59CA" w:rsidRPr="000008D9" w:rsidRDefault="002C59CA" w:rsidP="002C59CA">
      <w:pPr>
        <w:pStyle w:val="NormalHanging12a"/>
      </w:pPr>
      <w:r w:rsidRPr="000008D9">
        <w:t>5.</w:t>
      </w:r>
      <w:r w:rsidRPr="000008D9">
        <w:tab/>
        <w:t>understreger, at øer og kystområder på grund af klimaændringer er særligt udsatte for at blive ramt af naturkatastrofer; erkender, at fænomener som jordskælv, oversvømmelser, vulkanudbrud og tørke – der også påvirker søer og floder – udgør en stigende trussel mod mange europæiske regioner, navnlig regioner i Middelhavsområdet; sætter spørgsmålstegn ved, om EUSF er tilstrækkeligt tilpasset til de akutte behov i forbindelse med klimatilpasning i disse særligt sårbare områder; mener derfor, at øer og kystregioner bør modtage tilstrækkelig finansiering inden for rammerne af EUSF, så deres specifikke sårbarheder kan afhjælpes;</w:t>
      </w:r>
    </w:p>
    <w:p w14:paraId="1CFCF848" w14:textId="2CB64319" w:rsidR="002C59CA" w:rsidRPr="000008D9" w:rsidRDefault="002C59CA" w:rsidP="002C59CA">
      <w:pPr>
        <w:spacing w:after="240"/>
        <w:ind w:left="567" w:hanging="567"/>
      </w:pPr>
      <w:r w:rsidRPr="000008D9">
        <w:t>6.</w:t>
      </w:r>
      <w:r w:rsidRPr="000008D9">
        <w:tab/>
        <w:t xml:space="preserve">understreger, at EUSF kun er et afhjælpende instrument, og at Unionen også fortsat bør bidrage til tilpasning til og modvirkning af klimaændringer ved at støtte europæiske og nationale politikker til forebyggelse af naturkatastrofer; understreger, at Det Europæiske Miljøagentur i sin rapport nr. 1/2024 (Europæisk klimarisikovurdering) advarede om, at </w:t>
      </w:r>
      <w:r w:rsidR="00811AF9">
        <w:t>Unionen</w:t>
      </w:r>
      <w:r w:rsidR="00811AF9" w:rsidRPr="000008D9">
        <w:t xml:space="preserve"> </w:t>
      </w:r>
      <w:r w:rsidRPr="000008D9">
        <w:t xml:space="preserve">ikke er forberedt på virkningerne af klimaforandringerne, og understreger behovet for en indsats med henblik på at undgå, at de identificerede klimarisici når kritiske niveauer; opfordrer medlemsstaterne og Kommissionen til at yde deres bidrag til at nå de mål, der blev aftalt på klimatopmødet i Paris; minder om behovet for effektive </w:t>
      </w:r>
      <w:proofErr w:type="spellStart"/>
      <w:r w:rsidRPr="000008D9">
        <w:t>synergier</w:t>
      </w:r>
      <w:proofErr w:type="spellEnd"/>
      <w:r w:rsidRPr="000008D9">
        <w:t xml:space="preserve"> med andre EU-politikker og -programmer og understreger, at medlemsstaterne bør gøre bedst mulig brug af finansieringsmulighederne, navnlig Den Europæiske Fond for Regionaludvikling, Den Europæiske Socialfond Plus, Den Europæiske Hav-, Fiskeri- og Akvakulturfond, Samhørighedsfonden og programmerne for udvikling af landdistrikterne; understreger også behovet for forebyggende foranstaltninger, ikke blot for at afbøde fremtidige skader, men også for at forhindre en forværring af risikoforholdene som følge af katastrofale hændelser, som f.eks. naturbrande, jordskred eller udtørring af søer og floder; understreger betydningen af tilstrækkelig fleksibilitet mellem de forskellige programmer; understreger, at den </w:t>
      </w:r>
      <w:r w:rsidRPr="000008D9">
        <w:lastRenderedPageBreak/>
        <w:t>bistand, der ydes under EUSF, ikke bør være på bekostning af den EU-finansiering, som medlemsstaterne modtager under andre EU-programmer eller -politikker; minder om, at medlemsstaterne kan yde statsstøtte i overensstemmelse med gældende EU-regler, navnlig til landbrugsvirksomheder, der har lidt skade som følge af naturkatastrofer;</w:t>
      </w:r>
    </w:p>
    <w:p w14:paraId="2FCDA9CA" w14:textId="77777777" w:rsidR="002C59CA" w:rsidRPr="000008D9" w:rsidRDefault="002C59CA" w:rsidP="002C59CA">
      <w:pPr>
        <w:spacing w:after="240"/>
        <w:ind w:left="567" w:hanging="567"/>
      </w:pPr>
      <w:r w:rsidRPr="000008D9">
        <w:t xml:space="preserve">7. </w:t>
      </w:r>
      <w:r w:rsidRPr="000008D9">
        <w:tab/>
        <w:t>minder om betydningen af en hurtig og robust skadesvurdering, der tager behørigt hensyn til de økonomiske konsekvenser, og opfordrer til, at der gøres en øget operationel indsats for at reducere den gennemsnitlige tid, der går før frigivelsen af forskudsbetalinger, samtidig med at det sikres, at EU-budgettet beskyttes; opfordrer Kommissionen til yderligere at strømline procedurerne og reducere den tid, der er nødvendig for at behandle ansøgninger om anvendelse af EUSF, til at reducere svartiden og til at sikre, at midlerne hurtigt når frem til de berørte regioner, da naturkatastrofer forårsager betydelige skader, der forstyrrer dagligdagen og de lokale økonomier; understreger behovet for rimelig fleksibilitet, når modtagerlande står over for berettigede forsinkelser og udfordringer i forbindelse med ansøgning om og anvendelse af de tildelte midler;</w:t>
      </w:r>
      <w:r w:rsidRPr="000008D9">
        <w:rPr>
          <w:b/>
          <w:i/>
        </w:rPr>
        <w:t xml:space="preserve"> </w:t>
      </w:r>
      <w:r w:rsidRPr="000008D9">
        <w:t xml:space="preserve">opfordrer medlemsstaterne til at tage hensyn til, at sårbare befolkningsgrupper er særligt berørt af naturkatastrofer på grund af socioøkonomiske faktorer, der yderligere hæmmer deres evne til at komme på fode igen; </w:t>
      </w:r>
    </w:p>
    <w:p w14:paraId="7FF776BB" w14:textId="77777777" w:rsidR="002C59CA" w:rsidRPr="000008D9" w:rsidRDefault="002C59CA" w:rsidP="002C59CA">
      <w:pPr>
        <w:spacing w:after="240"/>
        <w:ind w:left="567" w:hanging="567"/>
      </w:pPr>
      <w:r w:rsidRPr="000008D9">
        <w:t>8.</w:t>
      </w:r>
      <w:r w:rsidRPr="000008D9">
        <w:tab/>
        <w:t xml:space="preserve">understreger, at det er påtrængende nødvendigt straks at frigive finansiel bistand gennem EUSF for at sikre, at støtten kan nå de berørte regioner i tide; </w:t>
      </w:r>
    </w:p>
    <w:p w14:paraId="5392E7A8" w14:textId="77777777" w:rsidR="002C59CA" w:rsidRPr="000008D9" w:rsidRDefault="002C59CA" w:rsidP="002C59CA">
      <w:pPr>
        <w:spacing w:after="240"/>
        <w:ind w:left="567" w:hanging="567"/>
      </w:pPr>
      <w:r w:rsidRPr="000008D9">
        <w:t>9.</w:t>
      </w:r>
      <w:r w:rsidRPr="000008D9">
        <w:tab/>
        <w:t>godkender den afgørelse, der er vedføjet denne beslutning;</w:t>
      </w:r>
    </w:p>
    <w:p w14:paraId="45CDFE75" w14:textId="77777777" w:rsidR="002C59CA" w:rsidRPr="000008D9" w:rsidRDefault="002C59CA" w:rsidP="002C59CA">
      <w:pPr>
        <w:spacing w:after="240"/>
        <w:ind w:left="567" w:hanging="567"/>
      </w:pPr>
      <w:r w:rsidRPr="000008D9">
        <w:t>10.</w:t>
      </w:r>
      <w:r w:rsidRPr="000008D9">
        <w:tab/>
        <w:t xml:space="preserve">pålægger sin formand at undertegne denne afgørelse sammen med Rådets formand og drage omsorg for, at den offentliggøres i </w:t>
      </w:r>
      <w:r w:rsidRPr="000008D9">
        <w:rPr>
          <w:i/>
        </w:rPr>
        <w:t>Den Europæiske Unions Tidende</w:t>
      </w:r>
      <w:r w:rsidRPr="000008D9">
        <w:t>;</w:t>
      </w:r>
    </w:p>
    <w:p w14:paraId="0AA7B3F6" w14:textId="77777777" w:rsidR="002C59CA" w:rsidRPr="000008D9" w:rsidRDefault="002C59CA" w:rsidP="002C59CA">
      <w:pPr>
        <w:spacing w:after="240"/>
        <w:ind w:left="567" w:hanging="567"/>
      </w:pPr>
      <w:r w:rsidRPr="000008D9">
        <w:t>11.</w:t>
      </w:r>
      <w:r w:rsidRPr="000008D9">
        <w:tab/>
        <w:t>pålægger sin formand at sende denne beslutning sammen med bilaget til Rådet og Kommissionen.</w:t>
      </w:r>
    </w:p>
    <w:p w14:paraId="5EAF9598" w14:textId="77777777" w:rsidR="002C59CA" w:rsidRPr="000008D9" w:rsidRDefault="002C59CA" w:rsidP="002C59CA"/>
    <w:p w14:paraId="110ACF06" w14:textId="77777777" w:rsidR="002C59CA" w:rsidRPr="000008D9" w:rsidRDefault="002C59CA" w:rsidP="002C59CA">
      <w:pPr>
        <w:pStyle w:val="PageHeading"/>
        <w:sectPr w:rsidR="002C59CA" w:rsidRPr="000008D9" w:rsidSect="000008D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6B4D4BF" w14:textId="77777777" w:rsidR="00811AF9" w:rsidRPr="00581407" w:rsidRDefault="00811AF9" w:rsidP="00581407">
      <w:pPr>
        <w:pStyle w:val="PageHeading"/>
        <w:rPr>
          <w:rFonts w:ascii="Times New Roman" w:hAnsi="Times New Roman" w:cs="Times New Roman"/>
        </w:rPr>
      </w:pPr>
      <w:bookmarkStart w:id="8" w:name="_Toc178759917"/>
      <w:r w:rsidRPr="00581407">
        <w:rPr>
          <w:rFonts w:ascii="Times New Roman" w:hAnsi="Times New Roman" w:cs="Times New Roman"/>
        </w:rPr>
        <w:lastRenderedPageBreak/>
        <w:t>BIL</w:t>
      </w:r>
      <w:bookmarkStart w:id="9" w:name="_GoBack"/>
      <w:bookmarkEnd w:id="9"/>
      <w:r w:rsidRPr="00581407">
        <w:rPr>
          <w:rFonts w:ascii="Times New Roman" w:hAnsi="Times New Roman" w:cs="Times New Roman"/>
        </w:rPr>
        <w:t>AG</w:t>
      </w:r>
    </w:p>
    <w:p w14:paraId="42528CBC" w14:textId="28B5D414" w:rsidR="002C59CA" w:rsidRPr="00581407" w:rsidRDefault="002C59CA" w:rsidP="002C59CA">
      <w:pPr>
        <w:pStyle w:val="PageHeading"/>
        <w:rPr>
          <w:rFonts w:ascii="Times New Roman" w:hAnsi="Times New Roman" w:cs="Times New Roman"/>
        </w:rPr>
      </w:pPr>
      <w:r w:rsidRPr="00581407">
        <w:rPr>
          <w:rFonts w:ascii="Times New Roman" w:hAnsi="Times New Roman" w:cs="Times New Roman"/>
        </w:rPr>
        <w:t>EUROPA-PARLAMENTETS OG RÅDETS AFGØRELSE</w:t>
      </w:r>
      <w:bookmarkEnd w:id="8"/>
    </w:p>
    <w:p w14:paraId="68529BBF" w14:textId="7477AE73" w:rsidR="00581407" w:rsidRDefault="002C59CA" w:rsidP="00581407">
      <w:pPr>
        <w:pStyle w:val="Titreobjet"/>
      </w:pPr>
      <w:r w:rsidRPr="000008D9">
        <w:t>om anvendelse af Den Europæiske Unions Solidaritetsfond med henblik på at yde bistand til Italien, Slovenien, Østrig, Grækenland og Frankrig i forbindelse med seks naturkatastrofer i 2023</w:t>
      </w:r>
    </w:p>
    <w:p w14:paraId="457EFB64" w14:textId="77777777" w:rsidR="00581407" w:rsidRDefault="00581407" w:rsidP="00581407">
      <w:pPr>
        <w:rPr>
          <w:i/>
        </w:rPr>
      </w:pPr>
    </w:p>
    <w:p w14:paraId="2E6C5B34" w14:textId="6B236141" w:rsidR="00581407" w:rsidRPr="00581407" w:rsidRDefault="00581407" w:rsidP="00581407">
      <w:pPr>
        <w:rPr>
          <w:lang w:eastAsia="en-US"/>
        </w:rPr>
      </w:pPr>
      <w:r w:rsidRPr="00F43BBF">
        <w:rPr>
          <w:i/>
        </w:rPr>
        <w:t xml:space="preserve">(Teksten i bilaget gengives ikke her, eftersom det svarer til den endelige retsakt, </w:t>
      </w:r>
      <w:r>
        <w:rPr>
          <w:i/>
        </w:rPr>
        <w:t>afgørelse (EU) 2024/2772</w:t>
      </w:r>
      <w:r>
        <w:rPr>
          <w:i/>
        </w:rPr>
        <w:t>.)</w:t>
      </w:r>
    </w:p>
    <w:sectPr w:rsidR="00581407" w:rsidRPr="00581407" w:rsidSect="000008D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EFECBC" w14:textId="77777777" w:rsidR="000728D8" w:rsidRPr="000008D9" w:rsidRDefault="000728D8">
      <w:r w:rsidRPr="000008D9">
        <w:separator/>
      </w:r>
    </w:p>
  </w:endnote>
  <w:endnote w:type="continuationSeparator" w:id="0">
    <w:p w14:paraId="442147F2" w14:textId="77777777" w:rsidR="000728D8" w:rsidRPr="000008D9" w:rsidRDefault="000728D8">
      <w:r w:rsidRPr="000008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2FD82" w14:textId="77777777" w:rsidR="002C59CA" w:rsidRPr="000008D9" w:rsidRDefault="002C59CA" w:rsidP="00F0120A">
    <w:pPr>
      <w:pStyle w:val="EPFooter"/>
    </w:pPr>
    <w:r w:rsidRPr="000008D9">
      <w:t>PE</w:t>
    </w:r>
    <w:r w:rsidRPr="000008D9">
      <w:rPr>
        <w:rStyle w:val="HideTWBExt"/>
      </w:rPr>
      <w:t>&lt;</w:t>
    </w:r>
    <w:proofErr w:type="spellStart"/>
    <w:r w:rsidRPr="000008D9">
      <w:rPr>
        <w:rStyle w:val="HideTWBExt"/>
      </w:rPr>
      <w:t>NoPE</w:t>
    </w:r>
    <w:proofErr w:type="spellEnd"/>
    <w:r w:rsidRPr="000008D9">
      <w:rPr>
        <w:rStyle w:val="HideTWBExt"/>
      </w:rPr>
      <w:t>&gt;</w:t>
    </w:r>
    <w:r w:rsidRPr="000008D9">
      <w:t>763.077</w:t>
    </w:r>
    <w:r w:rsidRPr="000008D9">
      <w:rPr>
        <w:rStyle w:val="HideTWBExt"/>
      </w:rPr>
      <w:t>&lt;/</w:t>
    </w:r>
    <w:proofErr w:type="spellStart"/>
    <w:r w:rsidRPr="000008D9">
      <w:rPr>
        <w:rStyle w:val="HideTWBExt"/>
      </w:rPr>
      <w:t>NoPE</w:t>
    </w:r>
    <w:proofErr w:type="spellEnd"/>
    <w:r w:rsidRPr="000008D9">
      <w:rPr>
        <w:rStyle w:val="HideTWBExt"/>
      </w:rPr>
      <w:t>&gt;&lt;Version&gt;</w:t>
    </w:r>
    <w:r w:rsidRPr="000008D9">
      <w:t>v02-00</w:t>
    </w:r>
    <w:r w:rsidRPr="000008D9">
      <w:rPr>
        <w:rStyle w:val="HideTWBExt"/>
      </w:rPr>
      <w:t>&lt;/Version&gt;</w:t>
    </w:r>
    <w:r w:rsidRPr="000008D9">
      <w:tab/>
    </w:r>
    <w:r w:rsidRPr="000008D9">
      <w:fldChar w:fldCharType="begin"/>
    </w:r>
    <w:r w:rsidRPr="000008D9">
      <w:instrText xml:space="preserve"> PAGE  \* MERGEFORMAT </w:instrText>
    </w:r>
    <w:r w:rsidRPr="000008D9">
      <w:fldChar w:fldCharType="separate"/>
    </w:r>
    <w:r w:rsidR="000008D9" w:rsidRPr="000008D9">
      <w:rPr>
        <w:noProof/>
      </w:rPr>
      <w:t>2</w:t>
    </w:r>
    <w:r w:rsidRPr="000008D9">
      <w:fldChar w:fldCharType="end"/>
    </w:r>
    <w:r w:rsidRPr="000008D9">
      <w:t>/</w:t>
    </w:r>
    <w:fldSimple w:instr=" NUMPAGES  \* MERGEFORMAT ">
      <w:r w:rsidR="000008D9" w:rsidRPr="000008D9">
        <w:rPr>
          <w:noProof/>
        </w:rPr>
        <w:t>9</w:t>
      </w:r>
    </w:fldSimple>
    <w:r w:rsidRPr="000008D9">
      <w:tab/>
    </w:r>
    <w:r w:rsidRPr="000008D9">
      <w:rPr>
        <w:rStyle w:val="HideTWBExt"/>
      </w:rPr>
      <w:t>&lt;PathFdR&gt;</w:t>
    </w:r>
    <w:r w:rsidRPr="000008D9">
      <w:t>RR\1307237DA.docx</w:t>
    </w:r>
    <w:r w:rsidRPr="000008D9">
      <w:rPr>
        <w:rStyle w:val="HideTWBExt"/>
      </w:rPr>
      <w:t>&lt;/</w:t>
    </w:r>
    <w:proofErr w:type="spellStart"/>
    <w:r w:rsidRPr="000008D9">
      <w:rPr>
        <w:rStyle w:val="HideTWBExt"/>
      </w:rPr>
      <w:t>PathFdR</w:t>
    </w:r>
    <w:proofErr w:type="spellEnd"/>
    <w:r w:rsidRPr="000008D9">
      <w:rPr>
        <w:rStyle w:val="HideTWBExt"/>
      </w:rPr>
      <w:t>&gt;</w:t>
    </w:r>
  </w:p>
  <w:p w14:paraId="55144269" w14:textId="77777777" w:rsidR="002C59CA" w:rsidRPr="000008D9" w:rsidRDefault="002C59CA" w:rsidP="00F0120A">
    <w:pPr>
      <w:pStyle w:val="EPFooter2"/>
    </w:pPr>
    <w:r w:rsidRPr="000008D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ED2E2" w14:textId="77777777" w:rsidR="002C59CA" w:rsidRPr="000008D9" w:rsidRDefault="002C59CA" w:rsidP="00F0120A">
    <w:pPr>
      <w:pStyle w:val="EPFooter"/>
    </w:pPr>
    <w:r w:rsidRPr="000008D9">
      <w:rPr>
        <w:rStyle w:val="HideTWBExt"/>
      </w:rPr>
      <w:t>&lt;PathFdR&gt;</w:t>
    </w:r>
    <w:r w:rsidRPr="000008D9">
      <w:t>RR\1307237DA.docx</w:t>
    </w:r>
    <w:r w:rsidRPr="000008D9">
      <w:rPr>
        <w:rStyle w:val="HideTWBExt"/>
      </w:rPr>
      <w:t>&lt;/</w:t>
    </w:r>
    <w:proofErr w:type="spellStart"/>
    <w:r w:rsidRPr="000008D9">
      <w:rPr>
        <w:rStyle w:val="HideTWBExt"/>
      </w:rPr>
      <w:t>PathFdR</w:t>
    </w:r>
    <w:proofErr w:type="spellEnd"/>
    <w:r w:rsidRPr="000008D9">
      <w:rPr>
        <w:rStyle w:val="HideTWBExt"/>
      </w:rPr>
      <w:t>&gt;</w:t>
    </w:r>
    <w:r w:rsidRPr="000008D9">
      <w:tab/>
    </w:r>
    <w:r w:rsidRPr="000008D9">
      <w:tab/>
      <w:t>PE</w:t>
    </w:r>
    <w:r w:rsidRPr="000008D9">
      <w:rPr>
        <w:rStyle w:val="HideTWBExt"/>
      </w:rPr>
      <w:t>&lt;</w:t>
    </w:r>
    <w:proofErr w:type="spellStart"/>
    <w:r w:rsidRPr="000008D9">
      <w:rPr>
        <w:rStyle w:val="HideTWBExt"/>
      </w:rPr>
      <w:t>NoPE</w:t>
    </w:r>
    <w:proofErr w:type="spellEnd"/>
    <w:r w:rsidRPr="000008D9">
      <w:rPr>
        <w:rStyle w:val="HideTWBExt"/>
      </w:rPr>
      <w:t>&gt;</w:t>
    </w:r>
    <w:r w:rsidRPr="000008D9">
      <w:t>763.077</w:t>
    </w:r>
    <w:r w:rsidRPr="000008D9">
      <w:rPr>
        <w:rStyle w:val="HideTWBExt"/>
      </w:rPr>
      <w:t>&lt;/</w:t>
    </w:r>
    <w:proofErr w:type="spellStart"/>
    <w:r w:rsidRPr="000008D9">
      <w:rPr>
        <w:rStyle w:val="HideTWBExt"/>
      </w:rPr>
      <w:t>NoPE</w:t>
    </w:r>
    <w:proofErr w:type="spellEnd"/>
    <w:r w:rsidRPr="000008D9">
      <w:rPr>
        <w:rStyle w:val="HideTWBExt"/>
      </w:rPr>
      <w:t>&gt;&lt;Version&gt;</w:t>
    </w:r>
    <w:r w:rsidRPr="000008D9">
      <w:t>v02-00</w:t>
    </w:r>
    <w:r w:rsidRPr="000008D9">
      <w:rPr>
        <w:rStyle w:val="HideTWBExt"/>
      </w:rPr>
      <w:t>&lt;/Version&gt;</w:t>
    </w:r>
  </w:p>
  <w:p w14:paraId="035CE5B2" w14:textId="77777777" w:rsidR="002C59CA" w:rsidRPr="000008D9" w:rsidRDefault="002C59CA" w:rsidP="00F0120A">
    <w:pPr>
      <w:pStyle w:val="EPFooter2"/>
    </w:pPr>
    <w:r w:rsidRPr="000008D9">
      <w:t>DA</w:t>
    </w:r>
    <w:r w:rsidRPr="000008D9">
      <w:tab/>
    </w:r>
    <w:r w:rsidRPr="000008D9">
      <w:rPr>
        <w:b w:val="0"/>
        <w:i/>
        <w:color w:val="C0C0C0"/>
        <w:sz w:val="22"/>
      </w:rPr>
      <w:t>Forenet i mangfoldighed</w:t>
    </w:r>
    <w:r w:rsidRPr="000008D9">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20E8D" w14:textId="77777777" w:rsidR="00064002" w:rsidRPr="000008D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6EB37" w14:textId="77777777" w:rsidR="00064002" w:rsidRPr="000008D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6D0DB" w14:textId="77777777" w:rsidR="00064002" w:rsidRPr="000008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1B613" w14:textId="77777777" w:rsidR="000728D8" w:rsidRPr="000008D9" w:rsidRDefault="000728D8">
      <w:r w:rsidRPr="000008D9">
        <w:separator/>
      </w:r>
    </w:p>
  </w:footnote>
  <w:footnote w:type="continuationSeparator" w:id="0">
    <w:p w14:paraId="0FD2BDBB" w14:textId="77777777" w:rsidR="000728D8" w:rsidRPr="000008D9" w:rsidRDefault="000728D8">
      <w:r w:rsidRPr="000008D9">
        <w:continuationSeparator/>
      </w:r>
    </w:p>
  </w:footnote>
  <w:footnote w:id="1">
    <w:p w14:paraId="3182D8D9" w14:textId="77777777" w:rsidR="002C59CA" w:rsidRPr="000008D9" w:rsidRDefault="002C59CA" w:rsidP="000008D9">
      <w:pPr>
        <w:pStyle w:val="FootnoteText"/>
        <w:ind w:left="567" w:hanging="567"/>
        <w:rPr>
          <w:sz w:val="24"/>
          <w:lang w:val="da-DK"/>
        </w:rPr>
      </w:pPr>
      <w:r w:rsidRPr="000008D9">
        <w:rPr>
          <w:rStyle w:val="FootnoteReference"/>
          <w:sz w:val="24"/>
          <w:lang w:val="da-DK"/>
        </w:rPr>
        <w:footnoteRef/>
      </w:r>
      <w:r w:rsidR="000008D9" w:rsidRPr="000008D9">
        <w:rPr>
          <w:sz w:val="24"/>
          <w:lang w:val="da-DK"/>
        </w:rPr>
        <w:t xml:space="preserve"> </w:t>
      </w:r>
      <w:r w:rsidR="000008D9" w:rsidRPr="000008D9">
        <w:rPr>
          <w:sz w:val="24"/>
          <w:lang w:val="da-DK"/>
        </w:rPr>
        <w:tab/>
      </w:r>
      <w:r w:rsidRPr="000008D9">
        <w:rPr>
          <w:sz w:val="24"/>
          <w:lang w:val="da-DK"/>
        </w:rPr>
        <w:t xml:space="preserve">EFT L 311 af 14.11.2002, s. 3, ELI: </w:t>
      </w:r>
      <w:hyperlink r:id="rId1" w:history="1">
        <w:r w:rsidRPr="000008D9">
          <w:rPr>
            <w:rStyle w:val="Hyperlink"/>
            <w:sz w:val="24"/>
            <w:lang w:val="da-DK"/>
          </w:rPr>
          <w:t>http://data.europa.eu/eli/reg/2002/2012/oj</w:t>
        </w:r>
      </w:hyperlink>
      <w:r w:rsidRPr="000008D9">
        <w:rPr>
          <w:sz w:val="24"/>
          <w:lang w:val="da-DK"/>
        </w:rPr>
        <w:t>.</w:t>
      </w:r>
    </w:p>
  </w:footnote>
  <w:footnote w:id="2">
    <w:p w14:paraId="03C5CECF" w14:textId="77777777" w:rsidR="002C59CA" w:rsidRPr="000008D9" w:rsidRDefault="002C59CA" w:rsidP="000008D9">
      <w:pPr>
        <w:pStyle w:val="FootnoteText"/>
        <w:ind w:left="567" w:hanging="567"/>
        <w:rPr>
          <w:sz w:val="24"/>
          <w:lang w:val="da-DK"/>
        </w:rPr>
      </w:pPr>
      <w:r w:rsidRPr="000008D9">
        <w:rPr>
          <w:rStyle w:val="FootnoteReference"/>
          <w:sz w:val="24"/>
          <w:lang w:val="da-DK"/>
        </w:rPr>
        <w:footnoteRef/>
      </w:r>
      <w:r w:rsidR="000008D9" w:rsidRPr="000008D9">
        <w:rPr>
          <w:sz w:val="24"/>
          <w:lang w:val="da-DK"/>
        </w:rPr>
        <w:t xml:space="preserve"> </w:t>
      </w:r>
      <w:r w:rsidR="000008D9" w:rsidRPr="000008D9">
        <w:rPr>
          <w:sz w:val="24"/>
          <w:lang w:val="da-DK"/>
        </w:rPr>
        <w:tab/>
      </w:r>
      <w:r w:rsidRPr="000008D9">
        <w:rPr>
          <w:sz w:val="24"/>
          <w:lang w:val="da-DK"/>
        </w:rPr>
        <w:t xml:space="preserve">EUT L 433 I af 22.12.2020, s. 11, ELI: </w:t>
      </w:r>
      <w:hyperlink r:id="rId2" w:history="1">
        <w:r w:rsidRPr="000008D9">
          <w:rPr>
            <w:rStyle w:val="Hyperlink"/>
            <w:sz w:val="24"/>
            <w:lang w:val="da-DK"/>
          </w:rPr>
          <w:t>http://data.europa.eu/eli/reg/2020/2093/oj</w:t>
        </w:r>
      </w:hyperlink>
      <w:r w:rsidRPr="000008D9">
        <w:rPr>
          <w:sz w:val="24"/>
          <w:lang w:val="da-DK"/>
        </w:rPr>
        <w:t>.</w:t>
      </w:r>
    </w:p>
  </w:footnote>
  <w:footnote w:id="3">
    <w:p w14:paraId="569B83BC" w14:textId="77777777" w:rsidR="002C59CA" w:rsidRPr="000008D9" w:rsidRDefault="002C59CA" w:rsidP="000008D9">
      <w:pPr>
        <w:pStyle w:val="FootnoteText"/>
        <w:ind w:left="567" w:hanging="567"/>
        <w:rPr>
          <w:sz w:val="24"/>
          <w:lang w:val="da-DK"/>
        </w:rPr>
      </w:pPr>
      <w:r w:rsidRPr="000008D9">
        <w:rPr>
          <w:rStyle w:val="FootnoteReference"/>
          <w:sz w:val="24"/>
          <w:lang w:val="da-DK"/>
        </w:rPr>
        <w:footnoteRef/>
      </w:r>
      <w:r w:rsidR="000008D9" w:rsidRPr="000008D9">
        <w:rPr>
          <w:sz w:val="24"/>
          <w:lang w:val="da-DK"/>
        </w:rPr>
        <w:t xml:space="preserve"> </w:t>
      </w:r>
      <w:r w:rsidR="000008D9" w:rsidRPr="000008D9">
        <w:rPr>
          <w:sz w:val="24"/>
          <w:lang w:val="da-DK"/>
        </w:rPr>
        <w:tab/>
      </w:r>
      <w:r w:rsidRPr="000008D9">
        <w:rPr>
          <w:sz w:val="24"/>
          <w:lang w:val="da-DK"/>
        </w:rPr>
        <w:t xml:space="preserve">EUT L 433 I af 22.12.2020, s. 28, ELI: </w:t>
      </w:r>
      <w:hyperlink r:id="rId3" w:history="1">
        <w:r w:rsidRPr="000008D9">
          <w:rPr>
            <w:rStyle w:val="Hyperlink"/>
            <w:sz w:val="24"/>
            <w:lang w:val="da-DK"/>
          </w:rPr>
          <w:t>http://data.europa.eu/eli/agree_interinstit/2020/1222/oj</w:t>
        </w:r>
      </w:hyperlink>
      <w:r w:rsidRPr="000008D9">
        <w:rPr>
          <w:sz w:val="24"/>
          <w:lang w:val="da-DK"/>
        </w:rPr>
        <w:t>.</w:t>
      </w:r>
    </w:p>
  </w:footnote>
  <w:footnote w:id="4">
    <w:p w14:paraId="2719A767" w14:textId="77777777" w:rsidR="002C59CA" w:rsidRPr="000008D9" w:rsidRDefault="002C59CA" w:rsidP="000008D9">
      <w:pPr>
        <w:pStyle w:val="FootnoteText"/>
        <w:ind w:left="567" w:hanging="567"/>
        <w:rPr>
          <w:sz w:val="24"/>
          <w:lang w:val="da-DK"/>
        </w:rPr>
      </w:pPr>
      <w:r w:rsidRPr="000008D9">
        <w:rPr>
          <w:rStyle w:val="FootnoteReference"/>
          <w:sz w:val="24"/>
          <w:lang w:val="da-DK"/>
        </w:rPr>
        <w:footnoteRef/>
      </w:r>
      <w:r w:rsidR="000008D9" w:rsidRPr="000008D9">
        <w:rPr>
          <w:sz w:val="24"/>
          <w:lang w:val="da-DK"/>
        </w:rPr>
        <w:t xml:space="preserve"> </w:t>
      </w:r>
      <w:r w:rsidR="000008D9" w:rsidRPr="000008D9">
        <w:rPr>
          <w:sz w:val="24"/>
          <w:lang w:val="da-DK"/>
        </w:rPr>
        <w:tab/>
      </w:r>
      <w:r w:rsidRPr="000008D9">
        <w:rPr>
          <w:sz w:val="24"/>
          <w:lang w:val="da-DK"/>
        </w:rPr>
        <w:t xml:space="preserve">EUT L 231 af 30.6.2021, s. 60, ELI: </w:t>
      </w:r>
      <w:hyperlink r:id="rId4" w:history="1">
        <w:r w:rsidRPr="000008D9">
          <w:rPr>
            <w:rStyle w:val="Hyperlink"/>
            <w:sz w:val="24"/>
            <w:lang w:val="da-DK"/>
          </w:rPr>
          <w:t>http://data.europa.eu/eli/reg/2021/1058/oj</w:t>
        </w:r>
      </w:hyperlink>
      <w:r w:rsidRPr="000008D9">
        <w:rPr>
          <w:sz w:val="24"/>
          <w:lang w:val="da-DK"/>
        </w:rPr>
        <w:t>.</w:t>
      </w:r>
    </w:p>
  </w:footnote>
  <w:footnote w:id="5">
    <w:p w14:paraId="1E37E7AC" w14:textId="77777777" w:rsidR="002C59CA" w:rsidRPr="000008D9" w:rsidRDefault="002C59CA" w:rsidP="000008D9">
      <w:pPr>
        <w:pStyle w:val="FootnoteText"/>
        <w:ind w:left="567" w:hanging="567"/>
        <w:rPr>
          <w:sz w:val="24"/>
          <w:lang w:val="da-DK"/>
        </w:rPr>
      </w:pPr>
      <w:r w:rsidRPr="000008D9">
        <w:rPr>
          <w:rStyle w:val="FootnoteReference"/>
          <w:sz w:val="24"/>
          <w:lang w:val="da-DK"/>
        </w:rPr>
        <w:footnoteRef/>
      </w:r>
      <w:r w:rsidR="000008D9" w:rsidRPr="000008D9">
        <w:rPr>
          <w:sz w:val="24"/>
          <w:lang w:val="da-DK"/>
        </w:rPr>
        <w:t xml:space="preserve"> </w:t>
      </w:r>
      <w:r w:rsidR="000008D9" w:rsidRPr="000008D9">
        <w:rPr>
          <w:sz w:val="24"/>
          <w:lang w:val="da-DK"/>
        </w:rPr>
        <w:tab/>
      </w:r>
      <w:r w:rsidRPr="000008D9">
        <w:rPr>
          <w:sz w:val="24"/>
          <w:lang w:val="da-DK"/>
        </w:rPr>
        <w:t>Vedtagne tekster, P9_</w:t>
      </w:r>
      <w:proofErr w:type="gramStart"/>
      <w:r w:rsidRPr="000008D9">
        <w:rPr>
          <w:sz w:val="24"/>
          <w:lang w:val="da-DK"/>
        </w:rPr>
        <w:t>TA(</w:t>
      </w:r>
      <w:proofErr w:type="gramEnd"/>
      <w:r w:rsidRPr="000008D9">
        <w:rPr>
          <w:sz w:val="24"/>
          <w:lang w:val="da-DK"/>
        </w:rPr>
        <w:t>2024)0082.</w:t>
      </w:r>
    </w:p>
  </w:footnote>
  <w:footnote w:id="6">
    <w:p w14:paraId="61BF6F60" w14:textId="7AFA03A7" w:rsidR="002C59CA" w:rsidRPr="000008D9" w:rsidRDefault="002C59CA" w:rsidP="000008D9">
      <w:pPr>
        <w:pStyle w:val="FootnoteText"/>
        <w:ind w:left="567" w:hanging="567"/>
        <w:rPr>
          <w:sz w:val="24"/>
          <w:lang w:val="da-DK"/>
        </w:rPr>
      </w:pPr>
      <w:r w:rsidRPr="000008D9">
        <w:rPr>
          <w:rStyle w:val="FootnoteReference"/>
          <w:sz w:val="24"/>
          <w:lang w:val="da-DK"/>
        </w:rPr>
        <w:footnoteRef/>
      </w:r>
      <w:r w:rsidR="000008D9" w:rsidRPr="000008D9">
        <w:rPr>
          <w:sz w:val="24"/>
          <w:lang w:val="da-DK"/>
        </w:rPr>
        <w:t xml:space="preserve"> </w:t>
      </w:r>
      <w:r w:rsidR="000008D9" w:rsidRPr="000008D9">
        <w:rPr>
          <w:sz w:val="24"/>
          <w:lang w:val="da-DK"/>
        </w:rPr>
        <w:tab/>
      </w:r>
      <w:r w:rsidRPr="000008D9">
        <w:rPr>
          <w:sz w:val="24"/>
          <w:lang w:val="da-DK"/>
        </w:rPr>
        <w:t>E</w:t>
      </w:r>
      <w:r w:rsidR="00811AF9">
        <w:rPr>
          <w:sz w:val="24"/>
          <w:lang w:val="da-DK"/>
        </w:rPr>
        <w:t>U</w:t>
      </w:r>
      <w:r w:rsidRPr="000008D9">
        <w:rPr>
          <w:sz w:val="24"/>
          <w:lang w:val="da-DK"/>
        </w:rPr>
        <w:t>T C 184 af 5.5.2022, s. 82.</w:t>
      </w:r>
    </w:p>
  </w:footnote>
  <w:footnote w:id="7">
    <w:p w14:paraId="08209111" w14:textId="77777777" w:rsidR="002C59CA" w:rsidRPr="000008D9" w:rsidRDefault="002C59CA" w:rsidP="000008D9">
      <w:pPr>
        <w:pStyle w:val="FootnoteText"/>
        <w:ind w:left="567" w:hanging="567"/>
        <w:rPr>
          <w:sz w:val="24"/>
          <w:lang w:val="da-DK"/>
        </w:rPr>
      </w:pPr>
      <w:r w:rsidRPr="000008D9">
        <w:rPr>
          <w:rStyle w:val="FootnoteReference"/>
          <w:sz w:val="24"/>
          <w:lang w:val="da-DK"/>
        </w:rPr>
        <w:footnoteRef/>
      </w:r>
      <w:r w:rsidR="000008D9" w:rsidRPr="000008D9">
        <w:rPr>
          <w:sz w:val="24"/>
          <w:lang w:val="da-DK"/>
        </w:rPr>
        <w:t xml:space="preserve"> </w:t>
      </w:r>
      <w:r w:rsidR="000008D9" w:rsidRPr="000008D9">
        <w:rPr>
          <w:sz w:val="24"/>
          <w:lang w:val="da-DK"/>
        </w:rPr>
        <w:tab/>
      </w:r>
      <w:r w:rsidRPr="000008D9">
        <w:rPr>
          <w:sz w:val="24"/>
          <w:lang w:val="da-DK"/>
        </w:rPr>
        <w:t>EUT C 15 af 12.1.2022, s.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70F51" w14:textId="77777777" w:rsidR="00064002" w:rsidRPr="000008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DB157" w14:textId="77777777" w:rsidR="00064002" w:rsidRPr="000008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AC65F" w14:textId="77777777" w:rsidR="00064002" w:rsidRPr="000008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DA"/>
    <w:docVar w:name="dvnumam" w:val="0"/>
    <w:docVar w:name="dvpe" w:val="763.077"/>
    <w:docVar w:name="dvrapporteur" w:val="Ordfører: "/>
    <w:docVar w:name="dvtitre" w:val="Europa-Parlamentets beslutning af xx.xx 2024 om forslag til Europa-Parlamentets og Rådets afgørelse om anvendelse af Den Europæiske Unions Solidaritetsfond med henblik på at yde bistand til Italien, Slovenien, Østrig, Grækenland og Frankrig i forbindelse med seks naturkatastrofer i 2023(COM(2024)0325 – C10-0088/2024 – 2024/0212(BUD))"/>
  </w:docVars>
  <w:rsids>
    <w:rsidRoot w:val="000728D8"/>
    <w:rsid w:val="000008D9"/>
    <w:rsid w:val="00002272"/>
    <w:rsid w:val="00064002"/>
    <w:rsid w:val="000677B9"/>
    <w:rsid w:val="000728D8"/>
    <w:rsid w:val="00077BE0"/>
    <w:rsid w:val="000831BA"/>
    <w:rsid w:val="000A42CC"/>
    <w:rsid w:val="000E7DD9"/>
    <w:rsid w:val="0010095E"/>
    <w:rsid w:val="00125B37"/>
    <w:rsid w:val="00187494"/>
    <w:rsid w:val="001F32AE"/>
    <w:rsid w:val="00245A01"/>
    <w:rsid w:val="002767FF"/>
    <w:rsid w:val="002B18FE"/>
    <w:rsid w:val="002B5493"/>
    <w:rsid w:val="002C59C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196"/>
    <w:rsid w:val="00545827"/>
    <w:rsid w:val="00560270"/>
    <w:rsid w:val="0058140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1AF9"/>
    <w:rsid w:val="00817416"/>
    <w:rsid w:val="00842779"/>
    <w:rsid w:val="00865F67"/>
    <w:rsid w:val="00881A7B"/>
    <w:rsid w:val="008840E5"/>
    <w:rsid w:val="00887B3E"/>
    <w:rsid w:val="008C2AC6"/>
    <w:rsid w:val="00930C23"/>
    <w:rsid w:val="0093193B"/>
    <w:rsid w:val="009509D8"/>
    <w:rsid w:val="00950B64"/>
    <w:rsid w:val="00981893"/>
    <w:rsid w:val="009C3ED7"/>
    <w:rsid w:val="00A1687D"/>
    <w:rsid w:val="00A43E52"/>
    <w:rsid w:val="00A4678D"/>
    <w:rsid w:val="00A52588"/>
    <w:rsid w:val="00A778C7"/>
    <w:rsid w:val="00A8006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5F917"/>
  <w15:chartTrackingRefBased/>
  <w15:docId w15:val="{0286CB46-866A-48E0-84F0-55A8310C0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59C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C59CA"/>
    <w:pPr>
      <w:keepNext/>
      <w:spacing w:after="480"/>
      <w:jc w:val="center"/>
    </w:pPr>
    <w:rPr>
      <w:rFonts w:ascii="Arial" w:hAnsi="Arial" w:cs="Arial"/>
      <w:b/>
    </w:rPr>
  </w:style>
  <w:style w:type="paragraph" w:customStyle="1" w:styleId="NormalHanging12a">
    <w:name w:val="NormalHanging12a"/>
    <w:basedOn w:val="Normal"/>
    <w:link w:val="NormalHanging12aChar"/>
    <w:rsid w:val="002C59CA"/>
    <w:pPr>
      <w:spacing w:after="240"/>
      <w:ind w:left="567" w:hanging="567"/>
    </w:pPr>
  </w:style>
  <w:style w:type="paragraph" w:styleId="Header">
    <w:name w:val="header"/>
    <w:basedOn w:val="Normal"/>
    <w:link w:val="HeaderChar"/>
    <w:rsid w:val="002C59CA"/>
    <w:pPr>
      <w:tabs>
        <w:tab w:val="center" w:pos="4513"/>
        <w:tab w:val="right" w:pos="9026"/>
      </w:tabs>
    </w:pPr>
  </w:style>
  <w:style w:type="character" w:customStyle="1" w:styleId="HeaderChar">
    <w:name w:val="Header Char"/>
    <w:basedOn w:val="DefaultParagraphFont"/>
    <w:link w:val="Header"/>
    <w:rsid w:val="002C59CA"/>
    <w:rPr>
      <w:sz w:val="24"/>
      <w:lang w:val="da-DK"/>
    </w:rPr>
  </w:style>
  <w:style w:type="paragraph" w:customStyle="1" w:styleId="EPFooter">
    <w:name w:val="EPFooter"/>
    <w:basedOn w:val="Normal"/>
    <w:rsid w:val="002C59CA"/>
    <w:pPr>
      <w:tabs>
        <w:tab w:val="center" w:pos="4535"/>
        <w:tab w:val="right" w:pos="9071"/>
      </w:tabs>
      <w:spacing w:before="240" w:after="240"/>
    </w:pPr>
    <w:rPr>
      <w:color w:val="010000"/>
      <w:sz w:val="22"/>
    </w:rPr>
  </w:style>
  <w:style w:type="paragraph" w:customStyle="1" w:styleId="EPComma">
    <w:name w:val="EPComma"/>
    <w:basedOn w:val="Normal"/>
    <w:rsid w:val="002C59CA"/>
    <w:pPr>
      <w:spacing w:before="480" w:after="240"/>
    </w:pPr>
  </w:style>
  <w:style w:type="character" w:styleId="Hyperlink">
    <w:name w:val="Hyperlink"/>
    <w:basedOn w:val="DefaultParagraphFont"/>
    <w:rsid w:val="002C59CA"/>
    <w:rPr>
      <w:color w:val="0563C1" w:themeColor="hyperlink"/>
      <w:u w:val="single"/>
    </w:rPr>
  </w:style>
  <w:style w:type="paragraph" w:styleId="NormalWeb">
    <w:name w:val="Normal (Web)"/>
    <w:basedOn w:val="Normal"/>
    <w:uiPriority w:val="99"/>
    <w:unhideWhenUsed/>
    <w:rsid w:val="002C59CA"/>
    <w:pPr>
      <w:widowControl/>
      <w:spacing w:before="100" w:beforeAutospacing="1" w:after="100" w:afterAutospacing="1"/>
    </w:pPr>
    <w:rPr>
      <w:szCs w:val="24"/>
    </w:rPr>
  </w:style>
  <w:style w:type="paragraph" w:customStyle="1" w:styleId="Institutionquisigne">
    <w:name w:val="Institution qui signe"/>
    <w:basedOn w:val="Normal"/>
    <w:next w:val="Normal"/>
    <w:rsid w:val="002C59CA"/>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2C59CA"/>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C59CA"/>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C59C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C59C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C59CA"/>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2C59CA"/>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2C59CA"/>
    <w:rPr>
      <w:sz w:val="24"/>
      <w:lang w:val="da-DK"/>
    </w:rPr>
  </w:style>
  <w:style w:type="paragraph" w:styleId="Footer">
    <w:name w:val="footer"/>
    <w:basedOn w:val="Normal"/>
    <w:link w:val="FooterChar"/>
    <w:rsid w:val="009C3ED7"/>
    <w:pPr>
      <w:tabs>
        <w:tab w:val="center" w:pos="4513"/>
        <w:tab w:val="right" w:pos="9026"/>
      </w:tabs>
    </w:pPr>
  </w:style>
  <w:style w:type="character" w:customStyle="1" w:styleId="FooterChar">
    <w:name w:val="Footer Char"/>
    <w:basedOn w:val="DefaultParagraphFont"/>
    <w:link w:val="Footer"/>
    <w:rsid w:val="009C3ED7"/>
    <w:rPr>
      <w:sz w:val="24"/>
      <w:lang w:val="da-DK"/>
    </w:rPr>
  </w:style>
  <w:style w:type="paragraph" w:styleId="BalloonText">
    <w:name w:val="Balloon Text"/>
    <w:basedOn w:val="Normal"/>
    <w:link w:val="BalloonTextChar"/>
    <w:rsid w:val="00811AF9"/>
    <w:rPr>
      <w:rFonts w:ascii="Segoe UI" w:hAnsi="Segoe UI" w:cs="Segoe UI"/>
      <w:sz w:val="18"/>
      <w:szCs w:val="18"/>
    </w:rPr>
  </w:style>
  <w:style w:type="character" w:customStyle="1" w:styleId="BalloonTextChar">
    <w:name w:val="Balloon Text Char"/>
    <w:basedOn w:val="DefaultParagraphFont"/>
    <w:link w:val="BalloonText"/>
    <w:rsid w:val="00811AF9"/>
    <w:rPr>
      <w:rFonts w:ascii="Segoe UI" w:hAnsi="Segoe UI" w:cs="Segoe UI"/>
      <w:sz w:val="18"/>
      <w:szCs w:val="18"/>
      <w:lang w:val="da-DK"/>
    </w:rPr>
  </w:style>
  <w:style w:type="character" w:styleId="CommentReference">
    <w:name w:val="annotation reference"/>
    <w:basedOn w:val="DefaultParagraphFont"/>
    <w:rsid w:val="00545196"/>
    <w:rPr>
      <w:sz w:val="16"/>
      <w:szCs w:val="16"/>
    </w:rPr>
  </w:style>
  <w:style w:type="paragraph" w:styleId="CommentText">
    <w:name w:val="annotation text"/>
    <w:basedOn w:val="Normal"/>
    <w:link w:val="CommentTextChar"/>
    <w:rsid w:val="00545196"/>
    <w:rPr>
      <w:sz w:val="20"/>
    </w:rPr>
  </w:style>
  <w:style w:type="character" w:customStyle="1" w:styleId="CommentTextChar">
    <w:name w:val="Comment Text Char"/>
    <w:basedOn w:val="DefaultParagraphFont"/>
    <w:link w:val="CommentText"/>
    <w:rsid w:val="00545196"/>
    <w:rPr>
      <w:lang w:val="da-DK"/>
    </w:rPr>
  </w:style>
  <w:style w:type="paragraph" w:styleId="CommentSubject">
    <w:name w:val="annotation subject"/>
    <w:basedOn w:val="CommentText"/>
    <w:next w:val="CommentText"/>
    <w:link w:val="CommentSubjectChar"/>
    <w:rsid w:val="00545196"/>
    <w:rPr>
      <w:b/>
      <w:bCs/>
    </w:rPr>
  </w:style>
  <w:style w:type="character" w:customStyle="1" w:styleId="CommentSubjectChar">
    <w:name w:val="Comment Subject Char"/>
    <w:basedOn w:val="CommentTextChar"/>
    <w:link w:val="CommentSubject"/>
    <w:rsid w:val="0054519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AA19B-67A4-4843-B7B7-1F63FEB71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1373</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2024-11-12T10:23:00Z</dcterms:created>
  <dcterms:modified xsi:type="dcterms:W3CDTF">2024-11-12T10:23:00Z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P10_TA(2024)0015_</vt:lpwstr>
  </property>
  <property fmtid="{D5CDD505-2E9C-101B-9397-08002B2CF9AE}" pid="4" name="&lt;Type&gt;">
    <vt:lpwstr>RR</vt:lpwstr>
  </property>
</Properties>
</file>