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6E51" w:rsidTr="0010095E">
        <w:trPr>
          <w:trHeight w:hRule="exact" w:val="1418"/>
        </w:trPr>
        <w:tc>
          <w:tcPr>
            <w:tcW w:w="6804" w:type="dxa"/>
            <w:shd w:val="clear" w:color="auto" w:fill="auto"/>
            <w:vAlign w:val="center"/>
          </w:tcPr>
          <w:p w:rsidR="00751A4A" w:rsidRPr="00BE6E51" w:rsidRDefault="001319B3" w:rsidP="0010095E">
            <w:pPr>
              <w:pStyle w:val="EPName"/>
            </w:pPr>
            <w:r w:rsidRPr="00BE6E51">
              <w:t>Europos Parlamentas</w:t>
            </w:r>
          </w:p>
          <w:p w:rsidR="00751A4A" w:rsidRPr="00BE6E51" w:rsidRDefault="005F1B17" w:rsidP="005F1B17">
            <w:pPr>
              <w:pStyle w:val="EPTerm"/>
              <w:rPr>
                <w:rStyle w:val="HideTWBExt"/>
                <w:noProof w:val="0"/>
                <w:vanish w:val="0"/>
                <w:color w:val="auto"/>
              </w:rPr>
            </w:pPr>
            <w:r w:rsidRPr="00BE6E51">
              <w:t>2024</w:t>
            </w:r>
            <w:r w:rsidR="00817416" w:rsidRPr="00BE6E51">
              <w:t>-202</w:t>
            </w:r>
            <w:r w:rsidRPr="00BE6E51">
              <w:t>9</w:t>
            </w:r>
          </w:p>
        </w:tc>
        <w:tc>
          <w:tcPr>
            <w:tcW w:w="2268" w:type="dxa"/>
            <w:shd w:val="clear" w:color="auto" w:fill="auto"/>
          </w:tcPr>
          <w:p w:rsidR="00751A4A" w:rsidRPr="00BE6E51" w:rsidRDefault="00187494" w:rsidP="0010095E">
            <w:pPr>
              <w:pStyle w:val="EPLogo"/>
            </w:pPr>
            <w:r w:rsidRPr="00BE6E5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6E51" w:rsidRDefault="00D058B8" w:rsidP="004C5D52">
      <w:pPr>
        <w:pStyle w:val="LineTop"/>
      </w:pPr>
    </w:p>
    <w:p w:rsidR="00680577" w:rsidRPr="00BE6E51" w:rsidRDefault="001319B3" w:rsidP="00680577">
      <w:pPr>
        <w:pStyle w:val="EPBodyTA1"/>
      </w:pPr>
      <w:r w:rsidRPr="00BE6E51">
        <w:t>PRIIMTI TEKSTAI</w:t>
      </w:r>
    </w:p>
    <w:p w:rsidR="00D058B8" w:rsidRPr="00BE6E51" w:rsidRDefault="00D058B8" w:rsidP="00D058B8">
      <w:pPr>
        <w:pStyle w:val="LineBottom"/>
      </w:pPr>
    </w:p>
    <w:p w:rsidR="001319B3" w:rsidRPr="00BE6E51" w:rsidRDefault="001319B3" w:rsidP="001319B3">
      <w:pPr>
        <w:pStyle w:val="ATHeading1"/>
      </w:pPr>
      <w:bookmarkStart w:id="0" w:name="TANumber"/>
      <w:r w:rsidRPr="00BE6E51">
        <w:t>P10_TA(2024)00</w:t>
      </w:r>
      <w:r w:rsidR="003C5944">
        <w:t>15</w:t>
      </w:r>
      <w:bookmarkEnd w:id="0"/>
    </w:p>
    <w:p w:rsidR="001319B3" w:rsidRPr="00BE6E51" w:rsidRDefault="001319B3" w:rsidP="001319B3">
      <w:pPr>
        <w:pStyle w:val="ATHeading2"/>
      </w:pPr>
      <w:bookmarkStart w:id="1" w:name="title"/>
      <w:r w:rsidRPr="00BE6E51">
        <w:t>Europos Sąjungos solidarumo fondo lėšų mobilizavimas siekiant suteikti paramą Italijai, Slovėnijai, Austrijai, Graikijai ir Prancūzijai dėl 2023 m. įvykusių stichinių nelaimių</w:t>
      </w:r>
      <w:bookmarkEnd w:id="1"/>
    </w:p>
    <w:p w:rsidR="001319B3" w:rsidRPr="00BE6E51" w:rsidRDefault="001319B3" w:rsidP="001319B3">
      <w:pPr>
        <w:rPr>
          <w:i/>
          <w:vanish/>
        </w:rPr>
      </w:pPr>
      <w:r w:rsidRPr="00BE6E51">
        <w:rPr>
          <w:i/>
        </w:rPr>
        <w:fldChar w:fldCharType="begin"/>
      </w:r>
      <w:r w:rsidRPr="00BE6E51">
        <w:rPr>
          <w:i/>
        </w:rPr>
        <w:instrText xml:space="preserve"> TC"(</w:instrText>
      </w:r>
      <w:bookmarkStart w:id="2" w:name="DocNumber"/>
      <w:r w:rsidRPr="00BE6E51">
        <w:rPr>
          <w:i/>
        </w:rPr>
        <w:instrText>A10-0002/2024</w:instrText>
      </w:r>
      <w:bookmarkEnd w:id="2"/>
      <w:r w:rsidRPr="00BE6E51">
        <w:rPr>
          <w:i/>
        </w:rPr>
        <w:instrText xml:space="preserve"> - Pranešėjas: Georgios Aftias)"\l3 \n&gt; \* MERGEFORMAT </w:instrText>
      </w:r>
      <w:r w:rsidRPr="00BE6E51">
        <w:rPr>
          <w:i/>
        </w:rPr>
        <w:fldChar w:fldCharType="end"/>
      </w:r>
    </w:p>
    <w:p w:rsidR="001319B3" w:rsidRPr="00BE6E51" w:rsidRDefault="001319B3" w:rsidP="001319B3">
      <w:pPr>
        <w:rPr>
          <w:vanish/>
        </w:rPr>
      </w:pPr>
      <w:bookmarkStart w:id="3" w:name="Commission"/>
      <w:r w:rsidRPr="00BE6E51">
        <w:rPr>
          <w:vanish/>
        </w:rPr>
        <w:t>Biudžeto komitetas</w:t>
      </w:r>
      <w:bookmarkEnd w:id="3"/>
    </w:p>
    <w:p w:rsidR="001319B3" w:rsidRPr="00BE6E51" w:rsidRDefault="001319B3" w:rsidP="001319B3">
      <w:pPr>
        <w:rPr>
          <w:vanish/>
        </w:rPr>
      </w:pPr>
      <w:bookmarkStart w:id="4" w:name="PE"/>
      <w:r w:rsidRPr="00BE6E51">
        <w:rPr>
          <w:vanish/>
        </w:rPr>
        <w:t>PE763.077</w:t>
      </w:r>
      <w:bookmarkEnd w:id="4"/>
    </w:p>
    <w:p w:rsidR="001319B3" w:rsidRPr="00BE6E51" w:rsidRDefault="00FC093C" w:rsidP="003C27D6">
      <w:pPr>
        <w:pStyle w:val="ATHeading3"/>
      </w:pPr>
      <w:bookmarkStart w:id="5" w:name="Sujet"/>
      <w:r>
        <w:t>2024 m. spalio 8 d. E</w:t>
      </w:r>
      <w:r w:rsidR="001319B3" w:rsidRPr="00BE6E51">
        <w:t>uropos Parlamento rezoliucija dėl pasiūlymo dėl Europos Parlamento ir Tarybos sprendimo dėl Europos Sąjungos solidarumo fondo lėšų mobilizavimo siekiant suteikti paramą Italijai, Slovėnijai, Austrijai, Graikijai ir Prancūzijai dėl 2023 m. įvykusių šešių stichinių nelaimių</w:t>
      </w:r>
      <w:bookmarkEnd w:id="5"/>
      <w:r w:rsidR="001319B3" w:rsidRPr="00BE6E51">
        <w:t xml:space="preserve"> </w:t>
      </w:r>
      <w:bookmarkStart w:id="6" w:name="References"/>
      <w:r w:rsidR="001319B3" w:rsidRPr="00BE6E51">
        <w:t>(COM(2024)0325 – C10-0088/2024 – 2024/0212(BUD))</w:t>
      </w:r>
      <w:bookmarkEnd w:id="6"/>
    </w:p>
    <w:p w:rsidR="00727F5B" w:rsidRPr="00BE6E51" w:rsidRDefault="00727F5B" w:rsidP="00727F5B">
      <w:pPr>
        <w:pStyle w:val="EPComma"/>
        <w:rPr>
          <w:noProof/>
        </w:rPr>
      </w:pPr>
      <w:bookmarkStart w:id="7" w:name="TextBodyBegin"/>
      <w:bookmarkEnd w:id="7"/>
      <w:r w:rsidRPr="00BE6E51">
        <w:rPr>
          <w:i/>
        </w:rPr>
        <w:t>Europos Parlamentas</w:t>
      </w:r>
      <w:r w:rsidRPr="00BE6E51">
        <w:t>,</w:t>
      </w:r>
    </w:p>
    <w:p w:rsidR="00727F5B" w:rsidRPr="00BE6E51" w:rsidRDefault="00727F5B" w:rsidP="00727F5B">
      <w:pPr>
        <w:pStyle w:val="NormalHanging12a"/>
        <w:rPr>
          <w:noProof/>
        </w:rPr>
      </w:pPr>
      <w:r w:rsidRPr="00BE6E51">
        <w:t>–</w:t>
      </w:r>
      <w:r w:rsidRPr="00BE6E51">
        <w:tab/>
        <w:t>atsižvelgdamas į Komisijos pasiūlymą Europos Parlamentui ir Tarybai (COM(2024)0325 – C10-0088/2024),</w:t>
      </w:r>
    </w:p>
    <w:p w:rsidR="00727F5B" w:rsidRPr="00BE6E51" w:rsidRDefault="00727F5B" w:rsidP="00727F5B">
      <w:pPr>
        <w:pStyle w:val="NormalHanging12a"/>
      </w:pPr>
      <w:r w:rsidRPr="00BE6E51">
        <w:rPr>
          <w:b/>
          <w:i/>
        </w:rPr>
        <w:t>–</w:t>
      </w:r>
      <w:r w:rsidRPr="00BE6E51">
        <w:rPr>
          <w:b/>
          <w:i/>
        </w:rPr>
        <w:tab/>
      </w:r>
      <w:r w:rsidRPr="00BE6E51">
        <w:t>atsižvelgdamas į Sutarties dėl Europos Sąjungos veikimo 107 straipsnio 2 dalį,</w:t>
      </w:r>
    </w:p>
    <w:p w:rsidR="00727F5B" w:rsidRPr="00BE6E51" w:rsidRDefault="00727F5B" w:rsidP="00727F5B">
      <w:pPr>
        <w:pStyle w:val="NormalHanging12a"/>
        <w:rPr>
          <w:noProof/>
        </w:rPr>
      </w:pPr>
      <w:r w:rsidRPr="00BE6E51">
        <w:t>–</w:t>
      </w:r>
      <w:r w:rsidRPr="00BE6E51">
        <w:tab/>
        <w:t>atsižvelgdamas į 2002 m. lapkričio 11 d. Tarybos reglamentą (EB) Nr. 2012/2002, įsteigiantį Europos Sąjungos solidarumo fondą</w:t>
      </w:r>
      <w:r w:rsidRPr="00BE6E51">
        <w:rPr>
          <w:rStyle w:val="FootnoteReference"/>
        </w:rPr>
        <w:footnoteReference w:id="1"/>
      </w:r>
      <w:r w:rsidRPr="00BE6E51">
        <w:t>,</w:t>
      </w:r>
    </w:p>
    <w:p w:rsidR="00727F5B" w:rsidRPr="00BE6E51" w:rsidRDefault="00727F5B" w:rsidP="00727F5B">
      <w:pPr>
        <w:pStyle w:val="NormalHanging12a"/>
        <w:rPr>
          <w:noProof/>
        </w:rPr>
      </w:pPr>
      <w:r w:rsidRPr="00BE6E51">
        <w:t>–</w:t>
      </w:r>
      <w:r w:rsidRPr="00BE6E51">
        <w:tab/>
        <w:t>atsižvelgdamas į 2020 m. gruodžio 17 d. Tarybos reglamentą (ES, Euratomas) 2020/2093, kuriuo nustatoma 2021–2027 m. daugiametė finansinė programa</w:t>
      </w:r>
      <w:r w:rsidRPr="00BE6E51">
        <w:rPr>
          <w:rStyle w:val="FootnoteReference"/>
          <w:noProof/>
        </w:rPr>
        <w:footnoteReference w:id="2"/>
      </w:r>
      <w:r w:rsidRPr="00BE6E51">
        <w:t>, ypač į jo 9 straipsnį,</w:t>
      </w:r>
    </w:p>
    <w:p w:rsidR="00727F5B" w:rsidRPr="00BE6E51" w:rsidRDefault="00727F5B" w:rsidP="00727F5B">
      <w:pPr>
        <w:pStyle w:val="NormalHanging12a"/>
        <w:rPr>
          <w:noProof/>
        </w:rPr>
      </w:pPr>
      <w:r w:rsidRPr="00BE6E51">
        <w:t>–</w:t>
      </w:r>
      <w:r w:rsidRPr="00BE6E51">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BE6E51">
        <w:rPr>
          <w:rStyle w:val="FootnoteReference"/>
          <w:noProof/>
        </w:rPr>
        <w:footnoteReference w:id="3"/>
      </w:r>
      <w:r w:rsidRPr="00BE6E51">
        <w:t>, ypač į jo 10 punktą,</w:t>
      </w:r>
    </w:p>
    <w:p w:rsidR="00727F5B" w:rsidRPr="00BE6E51" w:rsidRDefault="00727F5B" w:rsidP="00727F5B">
      <w:pPr>
        <w:pStyle w:val="NormalHanging12a"/>
      </w:pPr>
      <w:r w:rsidRPr="00BE6E51">
        <w:t>–</w:t>
      </w:r>
      <w:r w:rsidRPr="00BE6E51">
        <w:tab/>
        <w:t xml:space="preserve">atsižvelgdamas į 2021 m. birželio 24 d. Europos Parlamento ir Tarybos reglamentą </w:t>
      </w:r>
      <w:r w:rsidRPr="00BE6E51">
        <w:lastRenderedPageBreak/>
        <w:t>(ES) 2021/1058 dėl Europos regioninės plėtros fondo ir Sanglaudos fondo</w:t>
      </w:r>
      <w:r w:rsidRPr="00BE6E51">
        <w:rPr>
          <w:rStyle w:val="FootnoteReference"/>
        </w:rPr>
        <w:footnoteReference w:id="4"/>
      </w:r>
      <w:r w:rsidRPr="00BE6E51">
        <w:t xml:space="preserve">, </w:t>
      </w:r>
    </w:p>
    <w:p w:rsidR="00727F5B" w:rsidRPr="00BE6E51" w:rsidRDefault="00727F5B" w:rsidP="00727F5B">
      <w:pPr>
        <w:pStyle w:val="NormalWeb"/>
        <w:shd w:val="clear" w:color="auto" w:fill="FFFFFF"/>
        <w:ind w:left="567" w:hanging="567"/>
      </w:pPr>
      <w:r w:rsidRPr="00BE6E51">
        <w:t>–</w:t>
      </w:r>
      <w:r w:rsidRPr="00BE6E51">
        <w:tab/>
        <w:t xml:space="preserve">atsižvelgdamas į </w:t>
      </w:r>
      <w:r w:rsidR="0075728E">
        <w:t xml:space="preserve">savo </w:t>
      </w:r>
      <w:r w:rsidRPr="00BE6E51">
        <w:t>2024 m. vasario 27 d. rezoliuciją dėl Tarybos reglamento, kuriuo iš dalies keičiamas Reglamentas (ES, Euratomas) 2020/2093, kuriuo nustatoma 2021–2027 m. daugiametė finansinė programa, projekto</w:t>
      </w:r>
      <w:r w:rsidRPr="00BE6E51">
        <w:rPr>
          <w:rStyle w:val="FootnoteReference"/>
        </w:rPr>
        <w:footnoteReference w:id="5"/>
      </w:r>
      <w:r w:rsidRPr="00BE6E51">
        <w:t>,</w:t>
      </w:r>
    </w:p>
    <w:p w:rsidR="00727F5B" w:rsidRPr="00BE6E51" w:rsidRDefault="00727F5B" w:rsidP="00727F5B">
      <w:pPr>
        <w:pStyle w:val="NormalWeb"/>
        <w:shd w:val="clear" w:color="auto" w:fill="FFFFFF"/>
        <w:ind w:left="567" w:hanging="567"/>
      </w:pPr>
      <w:r w:rsidRPr="00BE6E51">
        <w:t>–</w:t>
      </w:r>
      <w:r w:rsidRPr="00BE6E51">
        <w:rPr>
          <w:b/>
          <w:i/>
        </w:rPr>
        <w:tab/>
      </w:r>
      <w:r w:rsidRPr="00BE6E51">
        <w:t xml:space="preserve">atsižvelgdamas į </w:t>
      </w:r>
      <w:r w:rsidR="0075728E">
        <w:t xml:space="preserve">savo </w:t>
      </w:r>
      <w:r w:rsidRPr="00BE6E51">
        <w:t>2021 m. spalio 20 d. rezoliuciją dėl valstybių narių gebėjimo veiksmingai naudoti iš ES solidarumo fondo gautas lėšas gaivalinių nelaimių atveju</w:t>
      </w:r>
      <w:r w:rsidRPr="00BE6E51">
        <w:rPr>
          <w:rStyle w:val="FootnoteReference"/>
        </w:rPr>
        <w:footnoteReference w:id="6"/>
      </w:r>
      <w:r w:rsidRPr="00BE6E51">
        <w:t>,</w:t>
      </w:r>
    </w:p>
    <w:p w:rsidR="00727F5B" w:rsidRPr="00BE6E51" w:rsidRDefault="00727F5B" w:rsidP="00727F5B">
      <w:pPr>
        <w:pStyle w:val="NormalWeb"/>
        <w:shd w:val="clear" w:color="auto" w:fill="FFFFFF"/>
        <w:ind w:left="567" w:hanging="567"/>
      </w:pPr>
      <w:r w:rsidRPr="00BE6E51">
        <w:t>–</w:t>
      </w:r>
      <w:r w:rsidRPr="00BE6E51">
        <w:rPr>
          <w:b/>
          <w:i/>
        </w:rPr>
        <w:tab/>
      </w:r>
      <w:r w:rsidRPr="00BE6E51">
        <w:t xml:space="preserve">atsižvelgdamas į </w:t>
      </w:r>
      <w:r w:rsidR="0075728E">
        <w:t xml:space="preserve">savo </w:t>
      </w:r>
      <w:r w:rsidRPr="00BE6E51">
        <w:t>2021 m. gegužės 18 d. rezoliuciją dėl Europos Sąjungos solidarumo fondo peržiūros</w:t>
      </w:r>
      <w:r w:rsidRPr="00BE6E51">
        <w:rPr>
          <w:rStyle w:val="FootnoteReference"/>
        </w:rPr>
        <w:footnoteReference w:id="7"/>
      </w:r>
      <w:r w:rsidRPr="00BE6E51">
        <w:t>,</w:t>
      </w:r>
    </w:p>
    <w:p w:rsidR="00727F5B" w:rsidRPr="00BE6E51" w:rsidRDefault="00727F5B" w:rsidP="00727F5B">
      <w:pPr>
        <w:pStyle w:val="NormalHanging12a"/>
      </w:pPr>
      <w:r w:rsidRPr="00BE6E51">
        <w:rPr>
          <w:b/>
          <w:i/>
        </w:rPr>
        <w:t>–</w:t>
      </w:r>
      <w:r w:rsidRPr="00BE6E51">
        <w:rPr>
          <w:b/>
          <w:i/>
        </w:rPr>
        <w:tab/>
      </w:r>
      <w:r w:rsidRPr="00BE6E51">
        <w:t>atsižvelgdamas į Europos aplinkos agentūros (EAA) ataskaitą Nr. 1/2024 „Europos klimato rizikos vertinimas“ (EUCRA),</w:t>
      </w:r>
    </w:p>
    <w:p w:rsidR="00727F5B" w:rsidRPr="00BE6E51" w:rsidRDefault="00727F5B" w:rsidP="00727F5B">
      <w:pPr>
        <w:pStyle w:val="NormalHanging12a"/>
      </w:pPr>
      <w:r w:rsidRPr="00BE6E51">
        <w:t>–</w:t>
      </w:r>
      <w:r w:rsidRPr="00BE6E51">
        <w:tab/>
        <w:t>atsižvelgdamas į Biudžeto komiteto pranešimą (A10-0002/2024),</w:t>
      </w:r>
    </w:p>
    <w:p w:rsidR="00727F5B" w:rsidRPr="00BE6E51" w:rsidRDefault="00727F5B" w:rsidP="00727F5B">
      <w:pPr>
        <w:pStyle w:val="NormalWeb"/>
        <w:shd w:val="clear" w:color="auto" w:fill="FFFFFF"/>
        <w:ind w:left="567" w:hanging="567"/>
      </w:pPr>
      <w:r w:rsidRPr="00BE6E51">
        <w:t>A.</w:t>
      </w:r>
      <w:r w:rsidRPr="00BE6E51">
        <w:tab/>
        <w:t>kadangi 2023 m. gegužės 1–17 d. Italijos Emilijos-Romanijos regione buvo nepaprastai smarkios liūtys ir dėl to kilo potvynių, kurių padaryta bendra tiesioginė žala, Italijos valdžios institucijos vertinimu, siekė 8,5 mlrd. EUR;</w:t>
      </w:r>
    </w:p>
    <w:p w:rsidR="00727F5B" w:rsidRPr="00BE6E51" w:rsidRDefault="00727F5B" w:rsidP="00727F5B">
      <w:pPr>
        <w:pStyle w:val="NormalHanging12a"/>
      </w:pPr>
      <w:r w:rsidRPr="00BE6E51">
        <w:t>B.</w:t>
      </w:r>
      <w:r w:rsidRPr="00BE6E51">
        <w:tab/>
        <w:t>kadangi 2023 m. rugpjūčio 3–6 d. Slovėnijoje buvo smarkios liūtys, dėl kurių visoje šalyje kilo potvynių, ir tai buvo iki šiol didžiausia stichinė nelaimė, kurios padaryta bendra tiesioginė žala, Komisijos duomenimis, siekė 7,3 mlrd. EUR;</w:t>
      </w:r>
    </w:p>
    <w:p w:rsidR="00727F5B" w:rsidRPr="00BE6E51" w:rsidRDefault="00727F5B" w:rsidP="00727F5B">
      <w:pPr>
        <w:pStyle w:val="NormalWeb"/>
        <w:shd w:val="clear" w:color="auto" w:fill="FFFFFF"/>
        <w:ind w:left="567" w:hanging="567"/>
      </w:pPr>
      <w:r w:rsidRPr="00BE6E51">
        <w:t>C.</w:t>
      </w:r>
      <w:r w:rsidRPr="00BE6E51">
        <w:tab/>
        <w:t>kadangi 2023 m. rugpjūčio 3–6 d. Austrijoje buvo smarkios liūtys, dėl kurių pietiniuose Austrijos regionuose kilo potvynių, kurių padaryta bendra tiesioginė žala, Austrijos valdžios institucijų vertinimu, siekė 208 mln. EUR;</w:t>
      </w:r>
    </w:p>
    <w:p w:rsidR="00727F5B" w:rsidRPr="00BE6E51" w:rsidRDefault="00727F5B" w:rsidP="00727F5B">
      <w:pPr>
        <w:pStyle w:val="NormalWeb"/>
        <w:shd w:val="clear" w:color="auto" w:fill="FFFFFF"/>
        <w:ind w:left="567" w:hanging="567"/>
      </w:pPr>
      <w:r w:rsidRPr="00BE6E51">
        <w:t>D.</w:t>
      </w:r>
      <w:r w:rsidRPr="00BE6E51">
        <w:tab/>
        <w:t>kadangi 2023 m. rugsėjo 4–11 d. Graikija nukentėjo nuo Viduržemio jūros regione siautusios audros „Daniel“. Dėl jos sukeltų smarkių liūčių daugelyje Vidurio Graikijos vietovių, ypač Tesalijos regione, kilo potvynių, kurių padaryta bendra tiesioginė žala, Graikijos valdžios institucijų vertinimu, siekė 2,3 mlrd. EUR;</w:t>
      </w:r>
    </w:p>
    <w:p w:rsidR="00727F5B" w:rsidRPr="00BE6E51" w:rsidRDefault="00727F5B" w:rsidP="00727F5B">
      <w:pPr>
        <w:pStyle w:val="NormalWeb"/>
        <w:shd w:val="clear" w:color="auto" w:fill="FFFFFF"/>
        <w:ind w:left="567" w:hanging="567"/>
      </w:pPr>
      <w:r w:rsidRPr="00BE6E51">
        <w:t>E.</w:t>
      </w:r>
      <w:r w:rsidRPr="00BE6E51">
        <w:tab/>
        <w:t>kadangi 2023 m. spalio 25 d.–lapkričio 10 d. Italijos Toskanos regione buvo smarkios liūtys ir dėl to kilo staigių potvynių, kurių padaryta bendra tiesioginė žala, Italijos valdžios institucijos vertinimu, siekė 2,7 mlrd. EUR;</w:t>
      </w:r>
    </w:p>
    <w:p w:rsidR="00727F5B" w:rsidRPr="00BE6E51" w:rsidRDefault="00727F5B" w:rsidP="00727F5B">
      <w:pPr>
        <w:pStyle w:val="NormalWeb"/>
        <w:shd w:val="clear" w:color="auto" w:fill="FFFFFF"/>
        <w:ind w:left="567" w:hanging="567"/>
      </w:pPr>
      <w:r w:rsidRPr="00BE6E51">
        <w:t>F.</w:t>
      </w:r>
      <w:r w:rsidRPr="00BE6E51">
        <w:tab/>
        <w:t>kadangi 2023 m. lapkričio 2–9 d. Prancūzijos Aukštutinės Prancūzijos regiono buvusiame Šiaurės-Pa de Kalė regione buvo smarkios liūtys, dėl kurių kilo potvynių, kurių padaryta bendra tiesioginė žala, Prancūzijos valdžios institucijų vertinimu, sudarė 1,9 mlrd. EUR;</w:t>
      </w:r>
    </w:p>
    <w:p w:rsidR="00727F5B" w:rsidRPr="00BE6E51" w:rsidRDefault="00727F5B" w:rsidP="00727F5B">
      <w:pPr>
        <w:spacing w:after="240"/>
        <w:ind w:left="567" w:hanging="567"/>
        <w:rPr>
          <w:szCs w:val="24"/>
          <w:shd w:val="clear" w:color="auto" w:fill="FFFFFF"/>
        </w:rPr>
      </w:pPr>
      <w:r w:rsidRPr="00BE6E51">
        <w:t>1.</w:t>
      </w:r>
      <w:r w:rsidRPr="00BE6E51">
        <w:tab/>
        <w:t xml:space="preserve">nuoširdžiai reiškia solidarumą su visomis aukomis, jų šeimomis ir visais nuo pragaištingų potvynių nukentėjusiais asmenimis Italijoje, Slovėnijoje, Austrijoje, Graikijoje ir Prancūzijoje, taip pat su nacionalinėmis, regioninėmis ir vietos valdžios </w:t>
      </w:r>
      <w:r w:rsidRPr="00BE6E51">
        <w:lastRenderedPageBreak/>
        <w:t>institucijomis, dalyvaujančiomis teikiant pagalbą;</w:t>
      </w:r>
    </w:p>
    <w:p w:rsidR="00727F5B" w:rsidRPr="00BE6E51" w:rsidRDefault="00727F5B" w:rsidP="00727F5B">
      <w:pPr>
        <w:spacing w:after="240"/>
        <w:ind w:left="567" w:hanging="567"/>
      </w:pPr>
      <w:r w:rsidRPr="00BE6E51">
        <w:t>2.</w:t>
      </w:r>
      <w:r w:rsidRPr="00BE6E51">
        <w:tab/>
        <w:t>palankiai vertina šį sprendimą kaip apčiuopiamą ir matomą Sąjungos solidarumo su savo piliečiais ir nukentėjusių vietovių regionais Italijoje, Slovėnijoje, Austrijoje, Graikijoje ir Prancūzijoje išraišką;</w:t>
      </w:r>
    </w:p>
    <w:p w:rsidR="00727F5B" w:rsidRPr="00BE6E51" w:rsidRDefault="00727F5B" w:rsidP="00727F5B">
      <w:pPr>
        <w:spacing w:after="240"/>
        <w:ind w:left="567" w:hanging="567"/>
      </w:pPr>
      <w:r w:rsidRPr="00BE6E51">
        <w:t>3.</w:t>
      </w:r>
      <w:r w:rsidRPr="00BE6E51">
        <w:tab/>
        <w:t>pakartoja, kad svarbu informuoti visuomenę apie Europos Sąjungos solidarumo fondo (ESSF) teikiamą apčiuopiamą naudą, be kita ko, siekiant didinti piliečių informuotumą apie Sąjungos priemones ir programas;</w:t>
      </w:r>
    </w:p>
    <w:p w:rsidR="00727F5B" w:rsidRPr="00BE6E51" w:rsidRDefault="00727F5B" w:rsidP="00727F5B">
      <w:pPr>
        <w:spacing w:after="240"/>
        <w:ind w:left="567" w:hanging="567"/>
      </w:pPr>
      <w:r w:rsidRPr="00BE6E51">
        <w:t>4.</w:t>
      </w:r>
      <w:r w:rsidRPr="00BE6E51">
        <w:tab/>
        <w:t>atkreipia dėmesį į tai, kad Europoje vis dažniau kyla didelių reikšmingą žalą padarančių gaivalinių nelaimių, ir ragina valstybes nares ir Komisiją investuoti į klimato kaitos švelninimo ir prisitaikymo prie jos priemones siekiant išvengti žmonių aukų ir ekonominių nuostolių; mano, kad ESSF biudžetas ar jo ekvivalentas turėtų būti padidintas, atsižvelgiant į būsimą Komisijos pasiūlymą dėl naujos daugiametės finansinės programos ir vėlesnes tarpinstitucines derybas; primygtinai ragina Komisiją padidinti Europos solidarumo rezervo biudžetą ir užtikrinti, kad bendra finansavimo suma ir paskirstymo būdai padėtų užtikrinti optimalų ESSF veiksmingumą;</w:t>
      </w:r>
    </w:p>
    <w:p w:rsidR="00727F5B" w:rsidRPr="00BE6E51" w:rsidRDefault="00727F5B" w:rsidP="00727F5B">
      <w:pPr>
        <w:pStyle w:val="NormalHanging12a"/>
      </w:pPr>
      <w:r w:rsidRPr="00BE6E51">
        <w:t>5.</w:t>
      </w:r>
      <w:r w:rsidRPr="00BE6E51">
        <w:tab/>
        <w:t>pabrėžia, kad dėl klimato kaitos salos ir pakrančių regionai yra ypač pažeidžiami stichinių nelaimių; pripažįsta, kad tokie reiškiniai kaip žemės drebėjimai, potvyniai, ugnikalnių išsiveržimai ir sausros, kurie taip pat daro poveikį ežerams ir upėms, kelia vis didesnę grėsmę daugeliui Europos regionų, ypač Viduržemio jūros regione; abejoja, ar ESSF yra tinkamai pritaikytas, kad būtų galima patenkinti neatidėliotinus poreikius, susijusius su prisitaikymu prie klimato kaitos šiose ypač pažeidžiamose teritorijose; todėl mano, kad salos ir pakrančių regionai turėtų gauti pakankamą finansavimą naudojant ESSF, kad būtų sprendžiami su jiems būdingu pažeidžiamumu susiję klausimai;</w:t>
      </w:r>
    </w:p>
    <w:p w:rsidR="00727F5B" w:rsidRPr="00BE6E51" w:rsidRDefault="00727F5B" w:rsidP="00727F5B">
      <w:pPr>
        <w:spacing w:after="240"/>
        <w:ind w:left="567" w:hanging="567"/>
      </w:pPr>
      <w:r w:rsidRPr="00BE6E51">
        <w:t>6.</w:t>
      </w:r>
      <w:r w:rsidRPr="00BE6E51">
        <w:tab/>
        <w:t xml:space="preserve">pabrėžia, kad ESSF yra tik taisomoji priemonė ir kad Sąjunga taip pat turėtų toliau spręsti prisitaikymo prie klimato kaitos ir jos švelninimo klausimus remdama Europos ir nacionalinę gaivalinių nelaimių prevencijos politiką; pabrėžia, kad EAA ataskaitoje Nr. 1/2024 „Europos klimato rizikos vertinimas“ įspėjama, jog blokas nėra pasirengęs klimato kaitos poveikiui ir pabrėžia, jog reikia imtis veiksmų siekiant išvengti, kad nustatyta su klimatu susijusi rizika nepasiektų kritinio lygi; ragina valstybes nares ir Komisiją prisidėti siekiant tikslų, dėl kurių susitarta Paryžiaus aukščiausiojo lygio susitikime klimato kaitos klausimais; primena, kad reikia užtikrinti veiksmingą sąveiką su kitomis Sąjungos politikos sritimis ir programomis, ir pabrėžia, kad valstybės narės turėtų kuo geriau pasinaudoti finansavimo galimybėmis, visų pirma Europos regioninės plėtros fondo, „Europos socialinio fondo +“, Europos jūrų reikalų, žvejybos ir akvakultūros fondo, Sanglaudos fondo ir kaimo plėtros programų lėšomis; pabrėžia, kad taip pat reikia imtis prevencinių priemonių ne tik siekiant sumažinti būsimą žalą, bet ir užkirsti kelią rizikos sąlygų pablogėjimui dėl katastrofinių įvykių, pvz., miškų gaisrų, nuošliaužų ar ežerų ir upių išdžiūvimo; pabrėžia, kad svarbu užtikrinti tinkamą įvairių programų lankstumą; atkreipia dėmesį į tai, kad pagal ESSF teikiama parama neturėtų kenkti </w:t>
      </w:r>
      <w:r w:rsidR="00226D37">
        <w:t>Sąjungos</w:t>
      </w:r>
      <w:r w:rsidR="008F65B1" w:rsidRPr="00BE6E51">
        <w:t xml:space="preserve"> </w:t>
      </w:r>
      <w:r w:rsidRPr="00BE6E51">
        <w:t>finansavimui, kurį valstybės narės gauna pagal kitas Sąjungos programas ar politiką; primena, kad valstybės narės, laikydamosi taikytinų Sąjungos taisyklių, gali teikti valstybės pagalbą, visų pirma žemės ūkio įmonėms, patyrusioms žalą dėl gaivalinių nelaimių;</w:t>
      </w:r>
    </w:p>
    <w:p w:rsidR="00727F5B" w:rsidRPr="00BE6E51" w:rsidRDefault="00727F5B" w:rsidP="00727F5B">
      <w:pPr>
        <w:spacing w:after="240"/>
        <w:ind w:left="567" w:hanging="567"/>
      </w:pPr>
      <w:r w:rsidRPr="00BE6E51">
        <w:t>7.</w:t>
      </w:r>
      <w:r w:rsidRPr="00BE6E51">
        <w:tab/>
        <w:t xml:space="preserve">primena, kad svarbu greitai ir patikimai įvertinti žalą tinkamai atsižvelgiant į ekonominius padarinius, ir ragina sustiprinti operatyvines pastangas, kad vidutinis </w:t>
      </w:r>
      <w:r w:rsidRPr="00BE6E51">
        <w:lastRenderedPageBreak/>
        <w:t>išankstinių mokėjimų laikas būtų trumpesnis, sykiu užtikrinant Sąjungos biudžeto apsaugą; ragina Komisiją dar labiau supaprastinti procedūrą ir sutrumpinti laiką, kurio reikia paraiškoms dėl ESSF lėšų mobilizavimo išnagrinėti, siekiant paspartinti reagavimo laiką ir užtikrinti, kad lėšos greitai pasiektų nukentėjusius regionus, nes gaivalinės nelaimės daro didelę žalą, kuri sutrikdo kasdienį gyvenimą ir vietos ekonomiką; pabrėžia, kad reikia užtikrinti pagrįstą lankstumą, kai paramą gaunančios šalys susiduria su pagrįstais vėlavimais ir iššūkiais teikdamos paraiškas skirti finansavimą ir jį naudodamos;</w:t>
      </w:r>
      <w:r w:rsidRPr="00BE6E51">
        <w:rPr>
          <w:b/>
          <w:i/>
        </w:rPr>
        <w:t xml:space="preserve"> </w:t>
      </w:r>
      <w:r w:rsidRPr="00BE6E51">
        <w:t xml:space="preserve">ragina valstybes nares atsižvelgti į tai, kad gaivalinės nelaimės ypač didelę įtaką daro pažeidžiamoms gyventojų grupėms dėl socialinių ir ekonominių veiksnių, dar labiau ribojančių jų gebėjimą atsigauti; </w:t>
      </w:r>
    </w:p>
    <w:p w:rsidR="00727F5B" w:rsidRPr="00BE6E51" w:rsidRDefault="00727F5B" w:rsidP="00727F5B">
      <w:pPr>
        <w:spacing w:after="240"/>
        <w:ind w:left="567" w:hanging="567"/>
      </w:pPr>
      <w:r w:rsidRPr="00BE6E51">
        <w:t>8.</w:t>
      </w:r>
      <w:r w:rsidRPr="00BE6E51">
        <w:tab/>
        <w:t xml:space="preserve">pabrėžia, kad reikia skubiai ir nedelsiant suteikti finansinę paramą iš ESSF, siekiant užtikrinti, kad parama nukentėjusius regionus pasiektų laiku; </w:t>
      </w:r>
    </w:p>
    <w:p w:rsidR="00727F5B" w:rsidRPr="00BE6E51" w:rsidRDefault="00727F5B" w:rsidP="00727F5B">
      <w:pPr>
        <w:spacing w:after="240"/>
        <w:ind w:left="567" w:hanging="567"/>
      </w:pPr>
      <w:r w:rsidRPr="00BE6E51">
        <w:t>9.</w:t>
      </w:r>
      <w:r w:rsidRPr="00BE6E51">
        <w:tab/>
        <w:t>pritaria prie šios rezoliucijos pridedamam sprendimui;</w:t>
      </w:r>
    </w:p>
    <w:p w:rsidR="00727F5B" w:rsidRPr="00BE6E51" w:rsidRDefault="00727F5B" w:rsidP="00727F5B">
      <w:pPr>
        <w:spacing w:after="240"/>
        <w:ind w:left="567" w:hanging="567"/>
      </w:pPr>
      <w:r w:rsidRPr="00BE6E51">
        <w:t>10.</w:t>
      </w:r>
      <w:r w:rsidRPr="00BE6E51">
        <w:tab/>
        <w:t xml:space="preserve">paveda Pirmininkei pasirašyti šį sprendimą su Tarybos pirmininku ir užtikrinti, kad jis būtų paskelbtas </w:t>
      </w:r>
      <w:r w:rsidRPr="00BE6E51">
        <w:rPr>
          <w:i/>
          <w:iCs/>
        </w:rPr>
        <w:t>Europos Sąjungos oficialiajame leidinyje</w:t>
      </w:r>
      <w:r w:rsidRPr="00BE6E51">
        <w:t>;</w:t>
      </w:r>
    </w:p>
    <w:p w:rsidR="00727F5B" w:rsidRPr="00BE6E51" w:rsidRDefault="00727F5B" w:rsidP="00727F5B">
      <w:pPr>
        <w:spacing w:after="240"/>
        <w:ind w:left="567" w:hanging="567"/>
      </w:pPr>
      <w:r w:rsidRPr="00BE6E51">
        <w:t>11.</w:t>
      </w:r>
      <w:r w:rsidRPr="00BE6E51">
        <w:tab/>
        <w:t>paveda Pirmininkei perduoti šią rezoliuciją ir jos priedą Tarybai ir Komisijai.</w:t>
      </w:r>
    </w:p>
    <w:p w:rsidR="00727F5B" w:rsidRPr="00BE6E51" w:rsidRDefault="00727F5B" w:rsidP="00727F5B">
      <w:pPr>
        <w:pStyle w:val="NormalHanging12a"/>
        <w:rPr>
          <w:noProof/>
        </w:rPr>
      </w:pPr>
    </w:p>
    <w:p w:rsidR="00727F5B" w:rsidRPr="00BE6E51" w:rsidRDefault="00727F5B" w:rsidP="00727F5B">
      <w:pPr>
        <w:pStyle w:val="PageHeading"/>
        <w:rPr>
          <w:noProof/>
        </w:rPr>
        <w:sectPr w:rsidR="00727F5B" w:rsidRPr="00BE6E51" w:rsidSect="00BE6E5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C27D6" w:rsidRPr="00E9500B" w:rsidRDefault="003C27D6" w:rsidP="00E9500B">
      <w:pPr>
        <w:pStyle w:val="PageHeading"/>
        <w:rPr>
          <w:rFonts w:ascii="Times New Roman" w:hAnsi="Times New Roman" w:cs="Times New Roman"/>
        </w:rPr>
      </w:pPr>
      <w:bookmarkStart w:id="8" w:name="_Toc178666060"/>
      <w:bookmarkStart w:id="9" w:name="_GoBack"/>
      <w:r w:rsidRPr="00E9500B">
        <w:rPr>
          <w:rFonts w:ascii="Times New Roman" w:hAnsi="Times New Roman" w:cs="Times New Roman"/>
        </w:rPr>
        <w:lastRenderedPageBreak/>
        <w:t>PRIEDAS</w:t>
      </w:r>
    </w:p>
    <w:p w:rsidR="00727F5B" w:rsidRPr="00E9500B" w:rsidRDefault="00727F5B" w:rsidP="00E9500B">
      <w:pPr>
        <w:pStyle w:val="PageHeading"/>
        <w:rPr>
          <w:rFonts w:ascii="Times New Roman" w:hAnsi="Times New Roman" w:cs="Times New Roman"/>
          <w:noProof/>
        </w:rPr>
      </w:pPr>
      <w:r w:rsidRPr="00E9500B">
        <w:rPr>
          <w:rFonts w:ascii="Times New Roman" w:hAnsi="Times New Roman" w:cs="Times New Roman"/>
        </w:rPr>
        <w:t>EUROPOS PARLAMENTO IR TARYBOS SPRENDIMAS</w:t>
      </w:r>
      <w:bookmarkEnd w:id="8"/>
    </w:p>
    <w:p w:rsidR="00727F5B" w:rsidRPr="00E9500B" w:rsidRDefault="00727F5B" w:rsidP="00E9500B">
      <w:pPr>
        <w:pStyle w:val="Titreobjet"/>
      </w:pPr>
      <w:r w:rsidRPr="00E9500B">
        <w:t>dėl Europos Sąjungos solidarumo fondo lėšų mobilizavimo siekiant suteikti paramą Italijai, Slovėnijai, Austrijai, Graikijai ir Prancūzijai dėl 2023 m. įvykusių šešių stichinių nelaimių</w:t>
      </w:r>
    </w:p>
    <w:bookmarkEnd w:id="9"/>
    <w:p w:rsidR="00E9500B" w:rsidRPr="00E9500B" w:rsidRDefault="00E9500B" w:rsidP="00E9500B">
      <w:pPr>
        <w:rPr>
          <w:i/>
          <w:lang w:val="en-GB" w:eastAsia="de-DE"/>
        </w:rPr>
      </w:pPr>
      <w:r w:rsidRPr="002E2EB9">
        <w:rPr>
          <w:i/>
          <w:lang w:val="en-GB" w:eastAsia="de-DE"/>
        </w:rPr>
        <w:t xml:space="preserve">(Šio priedo tekstas čia nepateikiamas, nes jis atitinka galutinį aktą – </w:t>
      </w:r>
      <w:r w:rsidRPr="00E9500B">
        <w:rPr>
          <w:i/>
          <w:lang w:val="en-GB" w:eastAsia="de-DE"/>
        </w:rPr>
        <w:t>Sprendimą (ES) 20</w:t>
      </w:r>
      <w:r w:rsidRPr="00E9500B">
        <w:rPr>
          <w:i/>
          <w:lang w:val="en-GB" w:eastAsia="de-DE"/>
        </w:rPr>
        <w:t>24</w:t>
      </w:r>
      <w:r w:rsidRPr="00E9500B">
        <w:rPr>
          <w:i/>
          <w:lang w:val="en-GB" w:eastAsia="de-DE"/>
        </w:rPr>
        <w:t>/</w:t>
      </w:r>
      <w:r>
        <w:rPr>
          <w:i/>
          <w:lang w:val="en-GB" w:eastAsia="de-DE"/>
        </w:rPr>
        <w:t>2772</w:t>
      </w:r>
      <w:r w:rsidRPr="002E2EB9">
        <w:rPr>
          <w:i/>
          <w:lang w:val="en-GB" w:eastAsia="de-DE"/>
        </w:rPr>
        <w:t>.)</w:t>
      </w:r>
    </w:p>
    <w:sectPr w:rsidR="00E9500B" w:rsidRPr="00E9500B" w:rsidSect="00BE6E5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9B3" w:rsidRPr="00BE6E51" w:rsidRDefault="001319B3">
      <w:r w:rsidRPr="00BE6E51">
        <w:separator/>
      </w:r>
    </w:p>
  </w:endnote>
  <w:endnote w:type="continuationSeparator" w:id="0">
    <w:p w:rsidR="001319B3" w:rsidRPr="00BE6E51" w:rsidRDefault="001319B3">
      <w:r w:rsidRPr="00BE6E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F5B" w:rsidRPr="00BE6E51" w:rsidRDefault="00727F5B" w:rsidP="00152F92">
    <w:pPr>
      <w:pStyle w:val="EPFooter"/>
    </w:pPr>
    <w:r w:rsidRPr="00BE6E51">
      <w:t>PE</w:t>
    </w:r>
    <w:r w:rsidRPr="00BE6E51">
      <w:rPr>
        <w:rStyle w:val="HideTWBExt"/>
      </w:rPr>
      <w:t>&lt;NoPE&gt;</w:t>
    </w:r>
    <w:r w:rsidRPr="00BE6E51">
      <w:t>763.077</w:t>
    </w:r>
    <w:r w:rsidRPr="00BE6E51">
      <w:rPr>
        <w:rStyle w:val="HideTWBExt"/>
      </w:rPr>
      <w:t>&lt;/NoPE&gt;&lt;Version&gt;</w:t>
    </w:r>
    <w:r w:rsidRPr="00BE6E51">
      <w:t>v02-00</w:t>
    </w:r>
    <w:r w:rsidRPr="00BE6E51">
      <w:rPr>
        <w:rStyle w:val="HideTWBExt"/>
      </w:rPr>
      <w:t>&lt;/Version&gt;</w:t>
    </w:r>
    <w:r w:rsidRPr="00BE6E51">
      <w:tab/>
    </w:r>
    <w:r w:rsidRPr="00BE6E51">
      <w:fldChar w:fldCharType="begin"/>
    </w:r>
    <w:r w:rsidRPr="00BE6E51">
      <w:instrText xml:space="preserve"> PAGE  \* MERGEFORMAT </w:instrText>
    </w:r>
    <w:r w:rsidRPr="00BE6E51">
      <w:fldChar w:fldCharType="separate"/>
    </w:r>
    <w:r w:rsidR="00BE6E51" w:rsidRPr="00BE6E51">
      <w:rPr>
        <w:noProof/>
      </w:rPr>
      <w:t>2</w:t>
    </w:r>
    <w:r w:rsidRPr="00BE6E51">
      <w:fldChar w:fldCharType="end"/>
    </w:r>
    <w:r w:rsidRPr="00BE6E51">
      <w:t>/</w:t>
    </w:r>
    <w:r w:rsidR="00E9500B">
      <w:fldChar w:fldCharType="begin"/>
    </w:r>
    <w:r w:rsidR="00E9500B">
      <w:instrText xml:space="preserve"> NUMPAGES  \* MERGEFORMAT </w:instrText>
    </w:r>
    <w:r w:rsidR="00E9500B">
      <w:fldChar w:fldCharType="separate"/>
    </w:r>
    <w:r w:rsidR="00BE6E51" w:rsidRPr="00BE6E51">
      <w:rPr>
        <w:noProof/>
      </w:rPr>
      <w:t>8</w:t>
    </w:r>
    <w:r w:rsidR="00E9500B">
      <w:rPr>
        <w:noProof/>
      </w:rPr>
      <w:fldChar w:fldCharType="end"/>
    </w:r>
    <w:r w:rsidRPr="00BE6E51">
      <w:tab/>
    </w:r>
    <w:r w:rsidRPr="00BE6E51">
      <w:rPr>
        <w:rStyle w:val="HideTWBExt"/>
      </w:rPr>
      <w:t>&lt;PathFdR&gt;</w:t>
    </w:r>
    <w:r w:rsidRPr="00BE6E51">
      <w:t>RR\1307237LT.docx</w:t>
    </w:r>
    <w:r w:rsidRPr="00BE6E51">
      <w:rPr>
        <w:rStyle w:val="HideTWBExt"/>
      </w:rPr>
      <w:t>&lt;/PathFdR&gt;</w:t>
    </w:r>
  </w:p>
  <w:p w:rsidR="00727F5B" w:rsidRPr="00BE6E51" w:rsidRDefault="00727F5B" w:rsidP="00152F92">
    <w:pPr>
      <w:pStyle w:val="EPFooter2"/>
    </w:pPr>
    <w:r w:rsidRPr="00BE6E5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F5B" w:rsidRPr="00BE6E51" w:rsidRDefault="00727F5B" w:rsidP="00152F92">
    <w:pPr>
      <w:pStyle w:val="EPFooter"/>
    </w:pPr>
    <w:r w:rsidRPr="00BE6E51">
      <w:rPr>
        <w:rStyle w:val="HideTWBExt"/>
      </w:rPr>
      <w:t>&lt;PathFdR&gt;</w:t>
    </w:r>
    <w:r w:rsidRPr="00BE6E51">
      <w:t>RR\1307237LT.docx</w:t>
    </w:r>
    <w:r w:rsidRPr="00BE6E51">
      <w:rPr>
        <w:rStyle w:val="HideTWBExt"/>
      </w:rPr>
      <w:t>&lt;/PathFdR&gt;</w:t>
    </w:r>
    <w:r w:rsidRPr="00BE6E51">
      <w:tab/>
    </w:r>
    <w:r w:rsidRPr="00BE6E51">
      <w:tab/>
      <w:t>PE</w:t>
    </w:r>
    <w:r w:rsidRPr="00BE6E51">
      <w:rPr>
        <w:rStyle w:val="HideTWBExt"/>
      </w:rPr>
      <w:t>&lt;NoPE&gt;</w:t>
    </w:r>
    <w:r w:rsidRPr="00BE6E51">
      <w:t>763.077</w:t>
    </w:r>
    <w:r w:rsidRPr="00BE6E51">
      <w:rPr>
        <w:rStyle w:val="HideTWBExt"/>
      </w:rPr>
      <w:t>&lt;/NoPE&gt;&lt;Version&gt;</w:t>
    </w:r>
    <w:r w:rsidRPr="00BE6E51">
      <w:t>v02-00</w:t>
    </w:r>
    <w:r w:rsidRPr="00BE6E51">
      <w:rPr>
        <w:rStyle w:val="HideTWBExt"/>
      </w:rPr>
      <w:t>&lt;/Version&gt;</w:t>
    </w:r>
  </w:p>
  <w:p w:rsidR="00727F5B" w:rsidRPr="00BE6E51" w:rsidRDefault="00727F5B" w:rsidP="00152F92">
    <w:pPr>
      <w:pStyle w:val="EPFooter2"/>
    </w:pPr>
    <w:r w:rsidRPr="00BE6E51">
      <w:t>LT</w:t>
    </w:r>
    <w:r w:rsidRPr="00BE6E51">
      <w:tab/>
    </w:r>
    <w:r w:rsidRPr="00BE6E51">
      <w:rPr>
        <w:b w:val="0"/>
        <w:i/>
        <w:color w:val="C0C0C0"/>
        <w:sz w:val="22"/>
      </w:rPr>
      <w:t>Suvienijusi įvairovę</w:t>
    </w:r>
    <w:r w:rsidRPr="00BE6E5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9B3" w:rsidRPr="00BE6E51" w:rsidRDefault="001319B3">
      <w:r w:rsidRPr="00BE6E51">
        <w:separator/>
      </w:r>
    </w:p>
  </w:footnote>
  <w:footnote w:type="continuationSeparator" w:id="0">
    <w:p w:rsidR="001319B3" w:rsidRPr="00BE6E51" w:rsidRDefault="001319B3">
      <w:r w:rsidRPr="00BE6E51">
        <w:continuationSeparator/>
      </w:r>
    </w:p>
  </w:footnote>
  <w:footnote w:id="1">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 xml:space="preserve">OL L 311, 2002 11 14, p. 3, ELI: </w:t>
      </w:r>
      <w:hyperlink r:id="rId1" w:history="1">
        <w:r w:rsidRPr="00BE6E51">
          <w:rPr>
            <w:rStyle w:val="Hyperlink"/>
            <w:sz w:val="24"/>
            <w:lang w:val="lt-LT"/>
          </w:rPr>
          <w:t>http://data.europa.eu/eli/reg/2002/2012/oj</w:t>
        </w:r>
      </w:hyperlink>
      <w:r w:rsidRPr="00BE6E51">
        <w:rPr>
          <w:sz w:val="24"/>
          <w:lang w:val="lt-LT"/>
        </w:rPr>
        <w:t>.</w:t>
      </w:r>
    </w:p>
  </w:footnote>
  <w:footnote w:id="2">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 xml:space="preserve">OL L 433 I, 2020 12 22, p. 11, ELI: </w:t>
      </w:r>
      <w:hyperlink r:id="rId2" w:history="1">
        <w:r w:rsidRPr="00BE6E51">
          <w:rPr>
            <w:rStyle w:val="Hyperlink"/>
            <w:sz w:val="24"/>
            <w:lang w:val="lt-LT"/>
          </w:rPr>
          <w:t>http://data.europa.eu/eli/reg/2020/2093/oj</w:t>
        </w:r>
      </w:hyperlink>
      <w:r w:rsidRPr="00BE6E51">
        <w:rPr>
          <w:sz w:val="24"/>
          <w:lang w:val="lt-LT"/>
        </w:rPr>
        <w:t>.</w:t>
      </w:r>
    </w:p>
  </w:footnote>
  <w:footnote w:id="3">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 xml:space="preserve">OL L 433 I, 2020 12 22, p. 28, ELI: </w:t>
      </w:r>
      <w:hyperlink r:id="rId3" w:history="1">
        <w:r w:rsidRPr="00BE6E51">
          <w:rPr>
            <w:rStyle w:val="Hyperlink"/>
            <w:sz w:val="24"/>
            <w:lang w:val="lt-LT"/>
          </w:rPr>
          <w:t>http://data.europa.eu/eli/agree_interinstit/2020/1222/oj</w:t>
        </w:r>
      </w:hyperlink>
      <w:r w:rsidRPr="00BE6E51">
        <w:rPr>
          <w:sz w:val="24"/>
          <w:lang w:val="lt-LT"/>
        </w:rPr>
        <w:t>.</w:t>
      </w:r>
    </w:p>
  </w:footnote>
  <w:footnote w:id="4">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 xml:space="preserve">OL L 231, 2021 6 30, p. 60, ELI: </w:t>
      </w:r>
      <w:hyperlink r:id="rId4" w:history="1">
        <w:r w:rsidRPr="00BE6E51">
          <w:rPr>
            <w:rStyle w:val="Hyperlink"/>
            <w:sz w:val="24"/>
            <w:lang w:val="lt-LT"/>
          </w:rPr>
          <w:t>http://data.europa.eu/eli/reg/2021/1058/oj</w:t>
        </w:r>
      </w:hyperlink>
      <w:r w:rsidRPr="00BE6E51">
        <w:rPr>
          <w:sz w:val="24"/>
          <w:lang w:val="lt-LT"/>
        </w:rPr>
        <w:t>.</w:t>
      </w:r>
    </w:p>
  </w:footnote>
  <w:footnote w:id="5">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Priimti tekstai, P9_TA(2024)0082.</w:t>
      </w:r>
    </w:p>
  </w:footnote>
  <w:footnote w:id="6">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OL C 184, 2022 5 5, p. 82.</w:t>
      </w:r>
    </w:p>
  </w:footnote>
  <w:footnote w:id="7">
    <w:p w:rsidR="00727F5B" w:rsidRPr="00BE6E51" w:rsidRDefault="00727F5B" w:rsidP="00BE6E51">
      <w:pPr>
        <w:pStyle w:val="FootnoteText"/>
        <w:ind w:left="567" w:hanging="567"/>
        <w:rPr>
          <w:sz w:val="24"/>
          <w:lang w:val="lt-LT"/>
        </w:rPr>
      </w:pPr>
      <w:r w:rsidRPr="00BE6E51">
        <w:rPr>
          <w:rStyle w:val="FootnoteReference"/>
          <w:sz w:val="24"/>
          <w:lang w:val="lt-LT"/>
        </w:rPr>
        <w:footnoteRef/>
      </w:r>
      <w:r w:rsidR="00BE6E51" w:rsidRPr="00BE6E51">
        <w:rPr>
          <w:sz w:val="24"/>
          <w:lang w:val="lt-LT"/>
        </w:rPr>
        <w:t xml:space="preserve"> </w:t>
      </w:r>
      <w:r w:rsidR="00BE6E51" w:rsidRPr="00BE6E51">
        <w:rPr>
          <w:sz w:val="24"/>
          <w:lang w:val="lt-LT"/>
        </w:rPr>
        <w:tab/>
      </w:r>
      <w:r w:rsidRPr="00BE6E51">
        <w:rPr>
          <w:sz w:val="24"/>
          <w:lang w:val="lt-LT"/>
        </w:rPr>
        <w:t>OL C 15, 2022 1 12,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6E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LT"/>
    <w:docVar w:name="dvnumam" w:val="0"/>
    <w:docVar w:name="dvpe" w:val="763.077"/>
    <w:docVar w:name="dvrapporteur" w:val="Pranešėjas: "/>
    <w:docVar w:name="dvtitre" w:val="Europos Parlamento teisėkūros rezoliucija dėl pasiūlymo dėl Europos Parlamento ir Tarybos sprendimo dėl Europos Sąjungos solidarumo fondo lėšų mobilizavimo siekiant suteikti paramą Italijai, Slovėnijai, Austrijai, Graikijai ir Prancūzijai dėl 2023 m. įvykusių šešių stichinių nelaimių(COM(2024)0325 – C10-0088/2024 – 2024/0212(BUD))"/>
  </w:docVars>
  <w:rsids>
    <w:rsidRoot w:val="001319B3"/>
    <w:rsid w:val="00002272"/>
    <w:rsid w:val="0003737C"/>
    <w:rsid w:val="00064002"/>
    <w:rsid w:val="000677B9"/>
    <w:rsid w:val="000831BA"/>
    <w:rsid w:val="000A42CC"/>
    <w:rsid w:val="000E7DD9"/>
    <w:rsid w:val="0010095E"/>
    <w:rsid w:val="00125B37"/>
    <w:rsid w:val="001319B3"/>
    <w:rsid w:val="00187494"/>
    <w:rsid w:val="001F32AE"/>
    <w:rsid w:val="00226D37"/>
    <w:rsid w:val="002767FF"/>
    <w:rsid w:val="002B18FE"/>
    <w:rsid w:val="002B5493"/>
    <w:rsid w:val="00343214"/>
    <w:rsid w:val="00361C00"/>
    <w:rsid w:val="00395FA1"/>
    <w:rsid w:val="003C27D6"/>
    <w:rsid w:val="003C3D16"/>
    <w:rsid w:val="003C59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F5B"/>
    <w:rsid w:val="00731ADD"/>
    <w:rsid w:val="00734777"/>
    <w:rsid w:val="00747932"/>
    <w:rsid w:val="00751A4A"/>
    <w:rsid w:val="00756632"/>
    <w:rsid w:val="0075728E"/>
    <w:rsid w:val="00762C74"/>
    <w:rsid w:val="00786EC0"/>
    <w:rsid w:val="007D1690"/>
    <w:rsid w:val="007E22AD"/>
    <w:rsid w:val="00817416"/>
    <w:rsid w:val="00842779"/>
    <w:rsid w:val="00865F67"/>
    <w:rsid w:val="00881A7B"/>
    <w:rsid w:val="008840E5"/>
    <w:rsid w:val="00887B3E"/>
    <w:rsid w:val="008C2AC6"/>
    <w:rsid w:val="008F65B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9DC"/>
    <w:rsid w:val="00BD48FE"/>
    <w:rsid w:val="00BD7BD8"/>
    <w:rsid w:val="00BE6ADC"/>
    <w:rsid w:val="00BE6E5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00B"/>
    <w:rsid w:val="00EB006A"/>
    <w:rsid w:val="00EB4772"/>
    <w:rsid w:val="00ED169E"/>
    <w:rsid w:val="00ED4235"/>
    <w:rsid w:val="00F04346"/>
    <w:rsid w:val="00F075DC"/>
    <w:rsid w:val="00F149E9"/>
    <w:rsid w:val="00F5134D"/>
    <w:rsid w:val="00F74202"/>
    <w:rsid w:val="00F87713"/>
    <w:rsid w:val="00FB4360"/>
    <w:rsid w:val="00FC093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A4601"/>
  <w15:chartTrackingRefBased/>
  <w15:docId w15:val="{C3F55CA5-C4BD-4AB3-854D-FE6C3BF1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7F5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27F5B"/>
    <w:pPr>
      <w:keepNext/>
      <w:spacing w:after="480"/>
      <w:jc w:val="center"/>
    </w:pPr>
    <w:rPr>
      <w:rFonts w:ascii="Arial" w:hAnsi="Arial" w:cs="Arial"/>
      <w:b/>
    </w:rPr>
  </w:style>
  <w:style w:type="paragraph" w:customStyle="1" w:styleId="NormalHanging12a">
    <w:name w:val="NormalHanging12a"/>
    <w:basedOn w:val="Normal"/>
    <w:link w:val="NormalHanging12aChar"/>
    <w:rsid w:val="00727F5B"/>
    <w:pPr>
      <w:spacing w:after="240"/>
      <w:ind w:left="567" w:hanging="567"/>
    </w:pPr>
  </w:style>
  <w:style w:type="paragraph" w:styleId="Header">
    <w:name w:val="header"/>
    <w:basedOn w:val="Normal"/>
    <w:link w:val="HeaderChar"/>
    <w:rsid w:val="00727F5B"/>
    <w:pPr>
      <w:tabs>
        <w:tab w:val="center" w:pos="4513"/>
        <w:tab w:val="right" w:pos="9026"/>
      </w:tabs>
    </w:pPr>
  </w:style>
  <w:style w:type="character" w:customStyle="1" w:styleId="HeaderChar">
    <w:name w:val="Header Char"/>
    <w:basedOn w:val="DefaultParagraphFont"/>
    <w:link w:val="Header"/>
    <w:rsid w:val="00727F5B"/>
    <w:rPr>
      <w:sz w:val="24"/>
      <w:lang w:val="lt-LT"/>
    </w:rPr>
  </w:style>
  <w:style w:type="paragraph" w:customStyle="1" w:styleId="EPFooter">
    <w:name w:val="EPFooter"/>
    <w:basedOn w:val="Normal"/>
    <w:rsid w:val="00727F5B"/>
    <w:pPr>
      <w:tabs>
        <w:tab w:val="center" w:pos="4535"/>
        <w:tab w:val="right" w:pos="9071"/>
      </w:tabs>
      <w:spacing w:before="240" w:after="240"/>
    </w:pPr>
    <w:rPr>
      <w:color w:val="010000"/>
      <w:sz w:val="22"/>
    </w:rPr>
  </w:style>
  <w:style w:type="paragraph" w:customStyle="1" w:styleId="EPComma">
    <w:name w:val="EPComma"/>
    <w:basedOn w:val="Normal"/>
    <w:rsid w:val="00727F5B"/>
    <w:pPr>
      <w:spacing w:before="480" w:after="240"/>
    </w:pPr>
  </w:style>
  <w:style w:type="character" w:styleId="Hyperlink">
    <w:name w:val="Hyperlink"/>
    <w:basedOn w:val="DefaultParagraphFont"/>
    <w:rsid w:val="00727F5B"/>
    <w:rPr>
      <w:color w:val="0563C1" w:themeColor="hyperlink"/>
      <w:u w:val="single"/>
    </w:rPr>
  </w:style>
  <w:style w:type="paragraph" w:styleId="NormalWeb">
    <w:name w:val="Normal (Web)"/>
    <w:basedOn w:val="Normal"/>
    <w:uiPriority w:val="99"/>
    <w:unhideWhenUsed/>
    <w:rsid w:val="00727F5B"/>
    <w:pPr>
      <w:widowControl/>
      <w:spacing w:before="100" w:beforeAutospacing="1" w:after="100" w:afterAutospacing="1"/>
    </w:pPr>
    <w:rPr>
      <w:szCs w:val="24"/>
    </w:rPr>
  </w:style>
  <w:style w:type="paragraph" w:customStyle="1" w:styleId="Titreobjet">
    <w:name w:val="Titre objet"/>
    <w:basedOn w:val="Normal"/>
    <w:next w:val="Normal"/>
    <w:rsid w:val="00727F5B"/>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727F5B"/>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727F5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27F5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27F5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27F5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27F5B"/>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727F5B"/>
    <w:rPr>
      <w:sz w:val="24"/>
      <w:lang w:val="lt-LT"/>
    </w:rPr>
  </w:style>
  <w:style w:type="paragraph" w:styleId="BalloonText">
    <w:name w:val="Balloon Text"/>
    <w:basedOn w:val="Normal"/>
    <w:link w:val="BalloonTextChar"/>
    <w:rsid w:val="00FC093C"/>
    <w:rPr>
      <w:rFonts w:ascii="Segoe UI" w:hAnsi="Segoe UI" w:cs="Segoe UI"/>
      <w:sz w:val="18"/>
      <w:szCs w:val="18"/>
    </w:rPr>
  </w:style>
  <w:style w:type="character" w:customStyle="1" w:styleId="BalloonTextChar">
    <w:name w:val="Balloon Text Char"/>
    <w:basedOn w:val="DefaultParagraphFont"/>
    <w:link w:val="BalloonText"/>
    <w:rsid w:val="00FC093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9C901-6492-41CC-9805-59D020B1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8176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2024-11-12T09:11:00Z</dcterms:created>
  <dcterms:modified xsi:type="dcterms:W3CDTF">2024-11-12T09:11:00Z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P10_TA(2024)0015_</vt:lpwstr>
  </property>
  <property fmtid="{D5CDD505-2E9C-101B-9397-08002B2CF9AE}" pid="4" name="&lt;Type&gt;">
    <vt:lpwstr>RR</vt:lpwstr>
  </property>
</Properties>
</file>