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5C70" w:rsidTr="0010095E">
        <w:trPr>
          <w:trHeight w:hRule="exact" w:val="1418"/>
        </w:trPr>
        <w:tc>
          <w:tcPr>
            <w:tcW w:w="6804" w:type="dxa"/>
            <w:shd w:val="clear" w:color="auto" w:fill="auto"/>
            <w:vAlign w:val="center"/>
          </w:tcPr>
          <w:p w:rsidR="00751A4A" w:rsidRPr="007B5C70" w:rsidRDefault="00FB3018" w:rsidP="0010095E">
            <w:pPr>
              <w:pStyle w:val="EPName"/>
            </w:pPr>
            <w:r w:rsidRPr="007B5C70">
              <w:t>Eiropas Parlaments</w:t>
            </w:r>
          </w:p>
          <w:p w:rsidR="00751A4A" w:rsidRPr="007B5C70" w:rsidRDefault="005F1B17" w:rsidP="005F1B17">
            <w:pPr>
              <w:pStyle w:val="EPTerm"/>
              <w:rPr>
                <w:rStyle w:val="HideTWBExt"/>
                <w:noProof w:val="0"/>
                <w:vanish w:val="0"/>
                <w:color w:val="auto"/>
              </w:rPr>
            </w:pPr>
            <w:r w:rsidRPr="007B5C70">
              <w:t>2024</w:t>
            </w:r>
            <w:r w:rsidR="00817416" w:rsidRPr="007B5C70">
              <w:t>-202</w:t>
            </w:r>
            <w:r w:rsidRPr="007B5C70">
              <w:t>9</w:t>
            </w:r>
          </w:p>
        </w:tc>
        <w:tc>
          <w:tcPr>
            <w:tcW w:w="2268" w:type="dxa"/>
            <w:shd w:val="clear" w:color="auto" w:fill="auto"/>
          </w:tcPr>
          <w:p w:rsidR="00751A4A" w:rsidRPr="007B5C70" w:rsidRDefault="00187494" w:rsidP="0010095E">
            <w:pPr>
              <w:pStyle w:val="EPLogo"/>
            </w:pPr>
            <w:r w:rsidRPr="007B5C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5C70" w:rsidRDefault="00D058B8" w:rsidP="004C5D52">
      <w:pPr>
        <w:pStyle w:val="LineTop"/>
      </w:pPr>
    </w:p>
    <w:p w:rsidR="00680577" w:rsidRPr="007B5C70" w:rsidRDefault="00FB3018" w:rsidP="00680577">
      <w:pPr>
        <w:pStyle w:val="EPBodyTA1"/>
      </w:pPr>
      <w:r w:rsidRPr="007B5C70">
        <w:t>PIEŅEMTIE TEKSTI</w:t>
      </w:r>
    </w:p>
    <w:p w:rsidR="00D058B8" w:rsidRPr="007B5C70" w:rsidRDefault="00D058B8" w:rsidP="00D058B8">
      <w:pPr>
        <w:pStyle w:val="LineBottom"/>
      </w:pPr>
    </w:p>
    <w:p w:rsidR="00FB3018" w:rsidRPr="007B5C70" w:rsidRDefault="00FB3018" w:rsidP="00FB3018">
      <w:pPr>
        <w:pStyle w:val="ATHeading1"/>
      </w:pPr>
      <w:bookmarkStart w:id="0" w:name="TANumber"/>
      <w:r w:rsidRPr="007B5C70">
        <w:t>P10_TA(2024)00</w:t>
      </w:r>
      <w:bookmarkEnd w:id="0"/>
      <w:r w:rsidR="00D0645A">
        <w:t>15</w:t>
      </w:r>
    </w:p>
    <w:p w:rsidR="00FB3018" w:rsidRPr="007B5C70" w:rsidRDefault="00392AC3" w:rsidP="00392AC3">
      <w:pPr>
        <w:pStyle w:val="ATHeading2"/>
      </w:pPr>
      <w:bookmarkStart w:id="1" w:name="title"/>
      <w:r>
        <w:t>Eiropas Savienības Solidaritātes fonda izmantošana: palīdzība Itālijai, Slovēnijai, Austrijai, Grieķijai un Francijai saistībā ar dabas katastrofām 2023. gadā</w:t>
      </w:r>
      <w:bookmarkEnd w:id="1"/>
    </w:p>
    <w:p w:rsidR="00FB3018" w:rsidRPr="007B5C70" w:rsidRDefault="00FB3018" w:rsidP="00FB3018">
      <w:pPr>
        <w:rPr>
          <w:i/>
          <w:vanish/>
        </w:rPr>
      </w:pPr>
      <w:r w:rsidRPr="007B5C70">
        <w:rPr>
          <w:i/>
        </w:rPr>
        <w:fldChar w:fldCharType="begin"/>
      </w:r>
      <w:r w:rsidRPr="007B5C70">
        <w:rPr>
          <w:i/>
        </w:rPr>
        <w:instrText xml:space="preserve"> TC"(</w:instrText>
      </w:r>
      <w:bookmarkStart w:id="2" w:name="DocNumber"/>
      <w:r w:rsidRPr="007B5C70">
        <w:rPr>
          <w:i/>
        </w:rPr>
        <w:instrText>A10-0002/2024</w:instrText>
      </w:r>
      <w:bookmarkEnd w:id="2"/>
      <w:r w:rsidRPr="007B5C70">
        <w:rPr>
          <w:i/>
        </w:rPr>
        <w:instrText xml:space="preserve"> - Referents: Georgios Aftias)"\l3 \n&gt; \* MERGEFORMAT </w:instrText>
      </w:r>
      <w:r w:rsidRPr="007B5C70">
        <w:rPr>
          <w:i/>
        </w:rPr>
        <w:fldChar w:fldCharType="end"/>
      </w:r>
    </w:p>
    <w:p w:rsidR="00FB3018" w:rsidRPr="007B5C70" w:rsidRDefault="00FB3018" w:rsidP="00FB3018">
      <w:pPr>
        <w:rPr>
          <w:vanish/>
        </w:rPr>
      </w:pPr>
      <w:bookmarkStart w:id="3" w:name="Commission"/>
      <w:r w:rsidRPr="007B5C70">
        <w:rPr>
          <w:vanish/>
        </w:rPr>
        <w:t>Budžeta komiteja</w:t>
      </w:r>
      <w:bookmarkEnd w:id="3"/>
    </w:p>
    <w:p w:rsidR="00FB3018" w:rsidRPr="007B5C70" w:rsidRDefault="00FB3018" w:rsidP="00FB3018">
      <w:pPr>
        <w:rPr>
          <w:vanish/>
        </w:rPr>
      </w:pPr>
      <w:bookmarkStart w:id="4" w:name="PE"/>
      <w:r w:rsidRPr="007B5C70">
        <w:rPr>
          <w:vanish/>
        </w:rPr>
        <w:t>PE763.077</w:t>
      </w:r>
      <w:bookmarkEnd w:id="4"/>
    </w:p>
    <w:p w:rsidR="00FB3018" w:rsidRPr="007B5C70" w:rsidRDefault="00FB3018" w:rsidP="00D0645A">
      <w:pPr>
        <w:pStyle w:val="ATHeading3"/>
      </w:pPr>
      <w:bookmarkStart w:id="5" w:name="Sujet"/>
      <w:r w:rsidRPr="007B5C70">
        <w:t xml:space="preserve">Eiropas Parlamenta 2024. gada </w:t>
      </w:r>
      <w:r w:rsidR="00392AC3">
        <w:t>8. oktobra</w:t>
      </w:r>
      <w:r w:rsidRPr="007B5C70">
        <w:t xml:space="preserve"> rezolūcija par priekšlikumu Eiropas Parlamenta un Padomes lēmumam par Eiropas Savienības Solidaritātes fonda izmantošanu, lai sniegtu palīdzību Itālijai, Slovēnijai, Austrijai, Grieķijai un Francijai saistībā ar sešām dabas katastrofām 2023. gadā</w:t>
      </w:r>
      <w:bookmarkEnd w:id="5"/>
      <w:r w:rsidRPr="007B5C70">
        <w:t xml:space="preserve"> </w:t>
      </w:r>
      <w:bookmarkStart w:id="6" w:name="References"/>
      <w:r w:rsidRPr="007B5C70">
        <w:t>(COM(2024)0325 – C10-0088/2024 – 2024/0212(BUD))</w:t>
      </w:r>
      <w:bookmarkEnd w:id="6"/>
    </w:p>
    <w:p w:rsidR="00282309" w:rsidRPr="007B5C70" w:rsidRDefault="00282309" w:rsidP="00282309">
      <w:pPr>
        <w:pStyle w:val="EPComma"/>
        <w:rPr>
          <w:noProof/>
        </w:rPr>
      </w:pPr>
      <w:bookmarkStart w:id="7" w:name="TextBodyBegin"/>
      <w:bookmarkEnd w:id="7"/>
      <w:r w:rsidRPr="007B5C70">
        <w:rPr>
          <w:i/>
        </w:rPr>
        <w:t>Eiropas Parlaments</w:t>
      </w:r>
      <w:r w:rsidRPr="007B5C70">
        <w:t>,</w:t>
      </w:r>
    </w:p>
    <w:p w:rsidR="00282309" w:rsidRPr="007B5C70" w:rsidRDefault="00282309" w:rsidP="00282309">
      <w:pPr>
        <w:pStyle w:val="NormalHanging12a"/>
        <w:rPr>
          <w:noProof/>
        </w:rPr>
      </w:pPr>
      <w:r w:rsidRPr="007B5C70">
        <w:t>–</w:t>
      </w:r>
      <w:r w:rsidRPr="007B5C70">
        <w:tab/>
        <w:t>ņemot vērā Komisijas priekšlikumu Eiropas Parlamentam un Padomei (COM(2024)0325 – C10</w:t>
      </w:r>
      <w:r w:rsidRPr="007B5C70">
        <w:noBreakHyphen/>
        <w:t>0088/2024),</w:t>
      </w:r>
    </w:p>
    <w:p w:rsidR="00282309" w:rsidRPr="007B5C70" w:rsidRDefault="00282309" w:rsidP="00282309">
      <w:pPr>
        <w:pStyle w:val="NormalHanging12a"/>
      </w:pPr>
      <w:r w:rsidRPr="007B5C70">
        <w:rPr>
          <w:b/>
          <w:i/>
        </w:rPr>
        <w:t>–</w:t>
      </w:r>
      <w:r w:rsidRPr="007B5C70">
        <w:rPr>
          <w:b/>
          <w:i/>
        </w:rPr>
        <w:tab/>
      </w:r>
      <w:r w:rsidRPr="007B5C70">
        <w:t>ņemot vērā Līguma par Eiropas Savienības darbību 107. panta 2. punktu,</w:t>
      </w:r>
    </w:p>
    <w:p w:rsidR="00282309" w:rsidRPr="007B5C70" w:rsidRDefault="00282309" w:rsidP="00282309">
      <w:pPr>
        <w:pStyle w:val="NormalHanging12a"/>
        <w:rPr>
          <w:noProof/>
        </w:rPr>
      </w:pPr>
      <w:r w:rsidRPr="007B5C70">
        <w:t>–</w:t>
      </w:r>
      <w:r w:rsidRPr="007B5C70">
        <w:tab/>
        <w:t>ņemot vērā Padomes 2002. gada 11. novembra Regulu (EK) Nr. 2012/2002, ar ko izveido Eiropas Savienības Solidaritātes fondu</w:t>
      </w:r>
      <w:r w:rsidRPr="007B5C70">
        <w:rPr>
          <w:rStyle w:val="FootnoteReference"/>
        </w:rPr>
        <w:footnoteReference w:id="1"/>
      </w:r>
      <w:r w:rsidRPr="007B5C70">
        <w:t>,</w:t>
      </w:r>
    </w:p>
    <w:p w:rsidR="00282309" w:rsidRPr="007B5C70" w:rsidRDefault="00282309" w:rsidP="00282309">
      <w:pPr>
        <w:pStyle w:val="NormalHanging12a"/>
        <w:rPr>
          <w:noProof/>
        </w:rPr>
      </w:pPr>
      <w:r w:rsidRPr="007B5C70">
        <w:t>–</w:t>
      </w:r>
      <w:r w:rsidRPr="007B5C70">
        <w:tab/>
        <w:t xml:space="preserve">ņemot vērā Padomes 2020. gada 17. decembra Regulu (ES, </w:t>
      </w:r>
      <w:r w:rsidRPr="007B5C70">
        <w:rPr>
          <w:i/>
        </w:rPr>
        <w:t>Euratom</w:t>
      </w:r>
      <w:r w:rsidRPr="007B5C70">
        <w:t>) 2020/2093, ar ko nosaka daudzgadu finanšu shēmu 2021.–2027. gadam</w:t>
      </w:r>
      <w:r w:rsidRPr="007B5C70">
        <w:rPr>
          <w:rStyle w:val="FootnoteReference"/>
          <w:noProof/>
        </w:rPr>
        <w:footnoteReference w:id="2"/>
      </w:r>
      <w:r w:rsidRPr="007B5C70">
        <w:t>, un jo īpaši tās 9. pantu,</w:t>
      </w:r>
    </w:p>
    <w:p w:rsidR="00282309" w:rsidRPr="007B5C70" w:rsidRDefault="00282309" w:rsidP="00282309">
      <w:pPr>
        <w:pStyle w:val="NormalHanging12a"/>
        <w:rPr>
          <w:noProof/>
        </w:rPr>
      </w:pPr>
      <w:r w:rsidRPr="007B5C70">
        <w:t>–</w:t>
      </w:r>
      <w:r w:rsidRPr="007B5C70">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7B5C70">
        <w:rPr>
          <w:rStyle w:val="FootnoteReference"/>
          <w:noProof/>
        </w:rPr>
        <w:footnoteReference w:id="3"/>
      </w:r>
      <w:r w:rsidRPr="007B5C70">
        <w:t>, un jo īpaši tā 10. punktu,</w:t>
      </w:r>
    </w:p>
    <w:p w:rsidR="00282309" w:rsidRPr="007B5C70" w:rsidRDefault="00282309" w:rsidP="00282309">
      <w:pPr>
        <w:pStyle w:val="NormalHanging12a"/>
      </w:pPr>
      <w:r w:rsidRPr="007B5C70">
        <w:t>–</w:t>
      </w:r>
      <w:r w:rsidRPr="007B5C70">
        <w:tab/>
        <w:t xml:space="preserve">ņemot vērā Eiropas Parlamenta un Padomes 2021. gada 24. jūnija Regulu </w:t>
      </w:r>
      <w:r w:rsidRPr="007B5C70">
        <w:lastRenderedPageBreak/>
        <w:t>(ES) 2021/1058 par Eiropas Reģionālās attīstības fondu un Kohēzijas fondu</w:t>
      </w:r>
      <w:r w:rsidRPr="007B5C70">
        <w:rPr>
          <w:rStyle w:val="FootnoteReference"/>
        </w:rPr>
        <w:footnoteReference w:id="4"/>
      </w:r>
      <w:r w:rsidRPr="007B5C70">
        <w:t xml:space="preserve">, </w:t>
      </w:r>
    </w:p>
    <w:p w:rsidR="00282309" w:rsidRPr="007B5C70" w:rsidRDefault="00282309" w:rsidP="00282309">
      <w:pPr>
        <w:pStyle w:val="NormalWeb"/>
        <w:shd w:val="clear" w:color="auto" w:fill="FFFFFF"/>
        <w:ind w:left="567" w:hanging="567"/>
      </w:pPr>
      <w:r w:rsidRPr="007B5C70">
        <w:t>–</w:t>
      </w:r>
      <w:r w:rsidRPr="007B5C70">
        <w:tab/>
        <w:t xml:space="preserve">ņemot vērā 2024. gada 27. februāra rezolūciju par projektu Padomes regulai, ar kuru groza Regulu (ES, </w:t>
      </w:r>
      <w:r w:rsidRPr="007B5C70">
        <w:rPr>
          <w:i/>
        </w:rPr>
        <w:t>Euratom</w:t>
      </w:r>
      <w:r w:rsidRPr="007B5C70">
        <w:t>) 2020/2093, ar ko nosaka daudzgadu finanšu shēmu 2021.–2027. gadam</w:t>
      </w:r>
      <w:r w:rsidRPr="007B5C70">
        <w:rPr>
          <w:rStyle w:val="FootnoteReference"/>
        </w:rPr>
        <w:footnoteReference w:id="5"/>
      </w:r>
      <w:r w:rsidRPr="007B5C70">
        <w:t>,</w:t>
      </w:r>
    </w:p>
    <w:p w:rsidR="00282309" w:rsidRPr="007B5C70" w:rsidRDefault="00282309" w:rsidP="00282309">
      <w:pPr>
        <w:pStyle w:val="NormalWeb"/>
        <w:shd w:val="clear" w:color="auto" w:fill="FFFFFF"/>
        <w:ind w:left="567" w:hanging="567"/>
      </w:pPr>
      <w:r w:rsidRPr="007B5C70">
        <w:t>–</w:t>
      </w:r>
      <w:r w:rsidRPr="007B5C70">
        <w:rPr>
          <w:b/>
          <w:i/>
        </w:rPr>
        <w:tab/>
      </w:r>
      <w:r w:rsidRPr="007B5C70">
        <w:t>ņemot vērā 2021. gada 20. oktobra rezolūciju par efektivitāti, ar kādu dalībvalstis izmanto ES Solidaritātes fonda līdzekļus dabas katastrofu gadījumos</w:t>
      </w:r>
      <w:r w:rsidRPr="007B5C70">
        <w:rPr>
          <w:rStyle w:val="FootnoteReference"/>
        </w:rPr>
        <w:footnoteReference w:id="6"/>
      </w:r>
      <w:r w:rsidRPr="007B5C70">
        <w:t>,</w:t>
      </w:r>
    </w:p>
    <w:p w:rsidR="00282309" w:rsidRPr="007B5C70" w:rsidRDefault="00282309" w:rsidP="00282309">
      <w:pPr>
        <w:pStyle w:val="NormalWeb"/>
        <w:shd w:val="clear" w:color="auto" w:fill="FFFFFF"/>
        <w:ind w:left="567" w:hanging="567"/>
      </w:pPr>
      <w:r w:rsidRPr="007B5C70">
        <w:t>–</w:t>
      </w:r>
      <w:r w:rsidRPr="007B5C70">
        <w:rPr>
          <w:b/>
          <w:i/>
        </w:rPr>
        <w:tab/>
      </w:r>
      <w:r w:rsidRPr="007B5C70">
        <w:t>ņemot vērā 2021. gada 18. maija rezolūciju par Eiropas Savienības Solidaritātes fonda pārskatīšanu</w:t>
      </w:r>
      <w:r w:rsidRPr="007B5C70">
        <w:rPr>
          <w:rStyle w:val="FootnoteReference"/>
        </w:rPr>
        <w:footnoteReference w:id="7"/>
      </w:r>
      <w:r w:rsidRPr="007B5C70">
        <w:t>,</w:t>
      </w:r>
    </w:p>
    <w:p w:rsidR="00282309" w:rsidRPr="007B5C70" w:rsidRDefault="00282309" w:rsidP="00282309">
      <w:pPr>
        <w:pStyle w:val="NormalHanging12a"/>
      </w:pPr>
      <w:r w:rsidRPr="007B5C70">
        <w:rPr>
          <w:b/>
          <w:i/>
        </w:rPr>
        <w:t>–</w:t>
      </w:r>
      <w:r w:rsidRPr="007B5C70">
        <w:rPr>
          <w:b/>
          <w:i/>
        </w:rPr>
        <w:tab/>
      </w:r>
      <w:r w:rsidRPr="007B5C70">
        <w:t>ņemot vērā EVA ziņojumu Nr. 1/2024 — Eiropas klimata riska novērtējums (</w:t>
      </w:r>
      <w:r w:rsidRPr="007B5C70">
        <w:rPr>
          <w:i/>
          <w:iCs/>
        </w:rPr>
        <w:t>EUCRA</w:t>
      </w:r>
      <w:r w:rsidRPr="007B5C70">
        <w:t>),</w:t>
      </w:r>
    </w:p>
    <w:p w:rsidR="00282309" w:rsidRPr="007B5C70" w:rsidRDefault="00282309" w:rsidP="00282309">
      <w:pPr>
        <w:pStyle w:val="NormalHanging12a"/>
      </w:pPr>
      <w:r w:rsidRPr="007B5C70">
        <w:t>–</w:t>
      </w:r>
      <w:r w:rsidRPr="007B5C70">
        <w:tab/>
        <w:t>ņemot vērā Budžeta komitejas ziņojumu (A10-0002/2024),</w:t>
      </w:r>
    </w:p>
    <w:p w:rsidR="00282309" w:rsidRPr="007B5C70" w:rsidRDefault="00282309" w:rsidP="00282309">
      <w:pPr>
        <w:pStyle w:val="NormalWeb"/>
        <w:shd w:val="clear" w:color="auto" w:fill="FFFFFF"/>
        <w:ind w:left="567" w:hanging="567"/>
      </w:pPr>
      <w:r w:rsidRPr="007B5C70">
        <w:t>A.</w:t>
      </w:r>
      <w:r w:rsidRPr="007B5C70">
        <w:tab/>
        <w:t>tā kā no 2023. gada 1. līdz 17. maijam Itālijas Emīlijas-</w:t>
      </w:r>
      <w:proofErr w:type="spellStart"/>
      <w:r w:rsidRPr="007B5C70">
        <w:t>Romanjas</w:t>
      </w:r>
      <w:proofErr w:type="spellEnd"/>
      <w:r w:rsidRPr="007B5C70">
        <w:t xml:space="preserve"> reģionā bija ārkārtīgi intensīvas lietusgāzes, kas izraisīja plūdus, kā rezultātā Itālijas iestādes lēš, ka kopējie tiešie zaudējumi ir 8,5 miljardi EUR;</w:t>
      </w:r>
    </w:p>
    <w:p w:rsidR="00282309" w:rsidRPr="007B5C70" w:rsidRDefault="00282309" w:rsidP="00282309">
      <w:pPr>
        <w:pStyle w:val="NormalHanging12a"/>
      </w:pPr>
      <w:r w:rsidRPr="007B5C70">
        <w:t>B.</w:t>
      </w:r>
      <w:r w:rsidRPr="007B5C70">
        <w:tab/>
        <w:t>tā kā no 2023. gada 3. līdz 6. augustam Slovēniju skāra spēcīgas lietusgāzes, kas izraisīja plūdus visā valstī un bija līdz šim vissmagākā dabas katastrofa, kā rezultātā saskaņā ar Komisijas datiem kopējie tiešie zaudējumi bija 7,3 miljardi EUR;</w:t>
      </w:r>
    </w:p>
    <w:p w:rsidR="00282309" w:rsidRPr="007B5C70" w:rsidRDefault="00282309" w:rsidP="00282309">
      <w:pPr>
        <w:pStyle w:val="NormalWeb"/>
        <w:shd w:val="clear" w:color="auto" w:fill="FFFFFF"/>
        <w:ind w:left="567" w:hanging="567"/>
      </w:pPr>
      <w:r w:rsidRPr="007B5C70">
        <w:t>C.</w:t>
      </w:r>
      <w:r w:rsidRPr="007B5C70">
        <w:tab/>
        <w:t>tā kā 2023. gada 3.–6. augustā Austriju ietekmēja spēcīgas lietusgāzes, izraisot plūdus Austrijas dienvidu reģionos, kā rezultātā Austrijas iestādes lēš, ka kopējie tiešie zaudējumi ir 208 miljoni EUR;</w:t>
      </w:r>
    </w:p>
    <w:p w:rsidR="00282309" w:rsidRPr="007B5C70" w:rsidRDefault="00282309" w:rsidP="00282309">
      <w:pPr>
        <w:pStyle w:val="NormalWeb"/>
        <w:shd w:val="clear" w:color="auto" w:fill="FFFFFF"/>
        <w:ind w:left="567" w:hanging="567"/>
      </w:pPr>
      <w:r w:rsidRPr="007B5C70">
        <w:t>D.</w:t>
      </w:r>
      <w:r w:rsidRPr="007B5C70">
        <w:tab/>
        <w:t xml:space="preserve">2023. gada 4.–11. septembrī Grieķiju skāra Vidusjūras vētra “Daniel”, kas izraisīja spēcīgas lietusgāzes un plūdus vairākās vietās Grieķijas centrālajā daļā, it īpaši </w:t>
      </w:r>
      <w:proofErr w:type="spellStart"/>
      <w:r w:rsidRPr="007B5C70">
        <w:t>Tesālijas</w:t>
      </w:r>
      <w:proofErr w:type="spellEnd"/>
      <w:r w:rsidRPr="007B5C70">
        <w:t xml:space="preserve"> reģionā, kā rezultātā Grieķijas iestādes lēš, ka kopējie tiešie zaudējumi ir 2,3 miljardi EUR;</w:t>
      </w:r>
    </w:p>
    <w:p w:rsidR="00282309" w:rsidRPr="007B5C70" w:rsidRDefault="00282309" w:rsidP="00282309">
      <w:pPr>
        <w:pStyle w:val="NormalWeb"/>
        <w:shd w:val="clear" w:color="auto" w:fill="FFFFFF"/>
        <w:ind w:left="567" w:hanging="567"/>
      </w:pPr>
      <w:r w:rsidRPr="007B5C70">
        <w:t>E.</w:t>
      </w:r>
      <w:r w:rsidRPr="007B5C70">
        <w:tab/>
        <w:t>tā kā no 2023. gada 25. oktobra līdz 10. novembrim Itālijas Toskānas reģionā bija ārkārtīgi intensīvas lietusgāzes, kas izraisīja plūdus, kā rezultātā Itālijas iestādes lēš, ka kopējie tiešie zaudējumi ir 2,7 miljardi EUR;</w:t>
      </w:r>
    </w:p>
    <w:p w:rsidR="00282309" w:rsidRPr="007B5C70" w:rsidRDefault="00282309" w:rsidP="00282309">
      <w:pPr>
        <w:pStyle w:val="NormalWeb"/>
        <w:shd w:val="clear" w:color="auto" w:fill="FFFFFF"/>
        <w:ind w:left="567" w:hanging="567"/>
      </w:pPr>
      <w:r w:rsidRPr="007B5C70">
        <w:t>F.</w:t>
      </w:r>
      <w:r w:rsidRPr="007B5C70">
        <w:tab/>
        <w:t>tā kā agrāko Ziemeļu-</w:t>
      </w:r>
      <w:proofErr w:type="spellStart"/>
      <w:r w:rsidRPr="007B5C70">
        <w:t>Padekalē</w:t>
      </w:r>
      <w:proofErr w:type="spellEnd"/>
      <w:r w:rsidRPr="007B5C70">
        <w:t xml:space="preserve"> reģionu, kas atrodas </w:t>
      </w:r>
      <w:proofErr w:type="spellStart"/>
      <w:r w:rsidRPr="007B5C70">
        <w:t>Augšfrancijas</w:t>
      </w:r>
      <w:proofErr w:type="spellEnd"/>
      <w:r w:rsidRPr="007B5C70">
        <w:t xml:space="preserve"> reģionā Francijā, 2023. gada 2.–9. novembrī skāra spēcīgas lietusgāzes, kuras izraisīja plūdus, kā rezultātā Francijas iestādes lēš, ka kopējie tiešie zaudējumi ir 1,9 miljardi EUR,</w:t>
      </w:r>
    </w:p>
    <w:p w:rsidR="00282309" w:rsidRPr="007B5C70" w:rsidRDefault="00282309" w:rsidP="00282309">
      <w:pPr>
        <w:spacing w:after="240"/>
        <w:ind w:left="567" w:hanging="567"/>
        <w:rPr>
          <w:szCs w:val="24"/>
          <w:shd w:val="clear" w:color="auto" w:fill="FFFFFF"/>
        </w:rPr>
      </w:pPr>
      <w:r w:rsidRPr="007B5C70">
        <w:t>1.</w:t>
      </w:r>
      <w:r w:rsidRPr="007B5C70">
        <w:tab/>
        <w:t>pauž</w:t>
      </w:r>
      <w:r w:rsidRPr="007B5C70">
        <w:rPr>
          <w:shd w:val="clear" w:color="auto" w:fill="FFFFFF"/>
        </w:rPr>
        <w:t xml:space="preserve"> visdziļāko solidaritāti ar visiem cietušajiem, viņu ģimenēm un visām personām, kuras </w:t>
      </w:r>
      <w:proofErr w:type="spellStart"/>
      <w:r w:rsidRPr="007B5C70">
        <w:rPr>
          <w:shd w:val="clear" w:color="auto" w:fill="FFFFFF"/>
        </w:rPr>
        <w:t>skāruši</w:t>
      </w:r>
      <w:proofErr w:type="spellEnd"/>
      <w:r w:rsidRPr="007B5C70">
        <w:rPr>
          <w:shd w:val="clear" w:color="auto" w:fill="FFFFFF"/>
        </w:rPr>
        <w:t xml:space="preserve"> postoši plūdi Itālijā, Slovēnijā, Austrijā, Grieķijā un Francijā, kā arī ar valsts, reģionālajām un vietējām iestādēm, kas iesaistītas centienos sniegt palīdzību;</w:t>
      </w:r>
    </w:p>
    <w:p w:rsidR="00282309" w:rsidRPr="007B5C70" w:rsidRDefault="00282309" w:rsidP="00282309">
      <w:pPr>
        <w:spacing w:after="240"/>
        <w:ind w:left="567" w:hanging="567"/>
      </w:pPr>
      <w:r w:rsidRPr="007B5C70">
        <w:lastRenderedPageBreak/>
        <w:t>2.</w:t>
      </w:r>
      <w:r w:rsidRPr="007B5C70">
        <w:tab/>
        <w:t>atzinīgi vērtē šo lēmumu kā taustāmu un redzamu izpausmi Savienības solidaritātei ar tās iedzīvotājiem un reģioniem skartajos apgabalos Itālijā, Slovēnijā, Austrijā, Grieķijā un Francijā;</w:t>
      </w:r>
    </w:p>
    <w:p w:rsidR="00282309" w:rsidRPr="007B5C70" w:rsidRDefault="00282309" w:rsidP="00282309">
      <w:pPr>
        <w:spacing w:after="240"/>
        <w:ind w:left="567" w:hanging="567"/>
      </w:pPr>
      <w:r w:rsidRPr="007B5C70">
        <w:t>3.</w:t>
      </w:r>
      <w:r w:rsidRPr="007B5C70">
        <w:tab/>
        <w:t>atkārtoti uzsver, ka ir svarīgi informēt sabiedrību par Eiropas Savienības Solidaritātes fonda (ESSF) nodrošinātajiem reālajiem ieguvumiem, arī lai vēl vairāk palielinātu iedzīvotāju uzticēšanos Savienības instrumentiem un programmām;</w:t>
      </w:r>
    </w:p>
    <w:p w:rsidR="00282309" w:rsidRPr="007B5C70" w:rsidRDefault="00282309" w:rsidP="00282309">
      <w:pPr>
        <w:spacing w:after="240"/>
        <w:ind w:left="567" w:hanging="567"/>
      </w:pPr>
      <w:r w:rsidRPr="007B5C70">
        <w:t>4.</w:t>
      </w:r>
      <w:r w:rsidRPr="007B5C70">
        <w:tab/>
        <w:t>uzsver, ka Eiropā pieaug smagu un postošu dabas katastrofu skaits, un aicina dalībvalstis un Komisiju vairāk ieguldīt klimata pārmaiņu mazināšanas un pielāgošanās pasākumos, lai izvairītos no cilvēku bojāejas un ekonomiskiem zaudējumiem ; uzskata, ka ESSF vai tam līdzvērtīga instrumenta budžets būtu jāpalielina, ņemot vērā gaidāmo Komisijas priekšlikumu par jauno daudzgadu finanšu shēmu un tam sekojošās iestāžu sarunas; mudina Komisiju palielināt Eiropas Solidaritātes rezerves budžetu un nodrošināt, ka finansējuma kopsumma un piešķiršanas kārtība nodrošina ESSF optimālu efektivitāti;</w:t>
      </w:r>
    </w:p>
    <w:p w:rsidR="00282309" w:rsidRPr="007B5C70" w:rsidRDefault="00282309" w:rsidP="00282309">
      <w:pPr>
        <w:pStyle w:val="NormalHanging12a"/>
      </w:pPr>
      <w:r w:rsidRPr="007B5C70">
        <w:t>5.</w:t>
      </w:r>
      <w:r w:rsidRPr="007B5C70">
        <w:tab/>
        <w:t>uzsver, ka klimata pārmaiņu dēļ salas un piekrastes reģioni ir īpaši neaizsargāti pret dabas katastrofām; atzīst, ka tādas parādības kā zemestrīces, plūdi, vulkāna izvirdumi un sausums, kas ietekmē arī ezerus un upes, arvien vairāk apdraud daudzus Eiropas reģionus, jo īpaši Vidusjūras reģionus; apšauba, vai ESSF ir pienācīgi saskaņots ar ārkārtas vajadzībām, kas saistītas ar pielāgošanos klimata pārmaiņām šajās īpaši neaizsargātajās teritorijās; tādēļ uzskata, ka salām un piekrastes reģioniem būtu jāsaņem pienācīgs finansējums no ESSF, lai novērstu to īpašo neaizsargātību;</w:t>
      </w:r>
    </w:p>
    <w:p w:rsidR="00282309" w:rsidRPr="007B5C70" w:rsidRDefault="00282309" w:rsidP="00282309">
      <w:pPr>
        <w:spacing w:after="240"/>
        <w:ind w:left="567" w:hanging="567"/>
      </w:pPr>
      <w:r w:rsidRPr="007B5C70">
        <w:t>6.</w:t>
      </w:r>
      <w:r w:rsidRPr="007B5C70">
        <w:tab/>
        <w:t xml:space="preserve">uzsver, ka ESSF ir tikai atjaunošanai paredzēts instruments un ka Savienībai būtu arī jāturpina risināt jautājumus, kas saistīti ar pielāgošanos klimata pārmaiņām un to mazināšanu, atbalstot Eiropas un valstu politiku dabas katastrofu novēršanai; uzsver, ka EVA ziņojumā Nr. 1/2024 “Eiropas klimata riska novērtējums” tika brīdināts, ka bloks nav gatavs klimata pārmaiņu ietekmei, un stingri norāda, ka ir jārīkojas, lai izvairītos no tā, ka apzinātie klimata riski sasniedz kritisku līmeni; aicina dalībvalstis un Komisiju dot savu pienesumu to mērķu sasniegšanā, par kuriem tika panākta vienošanās Parīzes klimata samitā; atgādina, ka ir vajadzīga efektīva sinerģija ar citām Savienības politikas jomām un programmām, un uzsver, ka dalībvalstīm būtu pēc iespējas labāk jāizmanto finansēšanas iespējas, jo īpaši Eiropas Reģionālās attīstības fonds, Eiropas Sociālais fonds+, Eiropas Jūrlietu, zvejniecības un akvakultūras fonds, Kohēzijas fonds un lauku attīstības programmas; turklāt uzsver, ka ir jāīsteno preventīvi pasākumi, lai ne tikai mazinātu turpmāku kaitējumu, bet arī novērstu riska apstākļu saasināšanos pēc katastrofāliem notikumiem, piemēram, dabas ugunsgrēkiem, zemes nogruvumiem vai ezeru un upju izžūšanas; uzsver, cik svarīgi ir nodrošināt pietiekamu elastību starp dažādām programmām; uzsver, ka no ESSF sniegtajai palīdzībai nevajadzētu mazināt </w:t>
      </w:r>
      <w:r w:rsidR="00392AC3">
        <w:t>Savienības</w:t>
      </w:r>
      <w:r w:rsidR="00392AC3" w:rsidRPr="007B5C70">
        <w:t xml:space="preserve"> </w:t>
      </w:r>
      <w:r w:rsidRPr="007B5C70">
        <w:t>finansējumu, ko dalībvalstis saņem saskaņā ar citām Savienības programmām vai politikas virzieniem; atgādina, ka saskaņā ar piemērojamiem Savienības noteikumiem dalībvalstis var piešķirt valsts atbalstu īpaši lauksaimniecības uzņēmumiem, kas cietuši zaudējumus dabas katastrofu dēļ;</w:t>
      </w:r>
    </w:p>
    <w:p w:rsidR="00282309" w:rsidRPr="007B5C70" w:rsidRDefault="00282309" w:rsidP="00282309">
      <w:pPr>
        <w:spacing w:after="240"/>
        <w:ind w:left="567" w:hanging="567"/>
      </w:pPr>
      <w:r w:rsidRPr="007B5C70">
        <w:t xml:space="preserve">7. </w:t>
      </w:r>
      <w:r w:rsidRPr="007B5C70">
        <w:tab/>
        <w:t xml:space="preserve">atgādina, cik svarīgi ir ātri un rūpīgi novērtēt kaitējumu, pienācīgi ņemot vērā ekonomiskās sekas, un prasa pastiprināt operatīvos centienus, lai samazinātu vidējo laiku avansa maksājumu veikšanai, vienlaikus nodrošinot Savienības budžeta aizsardzību; aicina Komisiju vēl vairāk racionalizēt šo procedūru un saīsināt ESSF mobilizēšanas pieteikumu izskatīšanas laiku, paātrināt reaģēšanas laiku un nodrošināt, </w:t>
      </w:r>
      <w:r w:rsidRPr="007B5C70">
        <w:lastRenderedPageBreak/>
        <w:t>ka līdzekļi ātri sasniedz skartos reģionus, jo dabas katastrofas rada būtisku kaitējumu, kas traucē ikdienas dzīvi un vietējo ekonomiku; uzsver, ka ir vajadzīga saprātīga elastība gadījumos, kad saņēmējvalstis saskaras ar pamatotu kavēšanos un problēmām, piesakoties piešķirtajam finansējumam un izmantojot to;</w:t>
      </w:r>
      <w:r w:rsidRPr="007B5C70">
        <w:rPr>
          <w:b/>
          <w:i/>
        </w:rPr>
        <w:t xml:space="preserve"> </w:t>
      </w:r>
      <w:r w:rsidRPr="007B5C70">
        <w:t xml:space="preserve">aicina dalībvalstis ņemt vērā, ka dabas katastrofas jo īpaši ietekmē neaizsargātās iedzīvotāju grupas, kas skaidrojams ar sociālekonomiskiem faktoriem, kuri vēl vairāk kavē neaizsargāto grupu spēju atgūties no katastrofām; </w:t>
      </w:r>
    </w:p>
    <w:p w:rsidR="00282309" w:rsidRPr="007B5C70" w:rsidRDefault="00282309" w:rsidP="00282309">
      <w:pPr>
        <w:spacing w:after="240"/>
        <w:ind w:left="567" w:hanging="567"/>
      </w:pPr>
      <w:r w:rsidRPr="007B5C70">
        <w:t>8.</w:t>
      </w:r>
      <w:r w:rsidRPr="007B5C70">
        <w:tab/>
        <w:t xml:space="preserve">uzsver, ka no ESSF ir steidzami un nekavējoties ir jāpiešķir finansiāla palīdzība, lai nodrošinātu, ka atbalsts var laicīgi sasniegt skartos reģionus; </w:t>
      </w:r>
    </w:p>
    <w:p w:rsidR="00282309" w:rsidRPr="007B5C70" w:rsidRDefault="00282309" w:rsidP="00282309">
      <w:pPr>
        <w:spacing w:after="240"/>
        <w:ind w:left="567" w:hanging="567"/>
      </w:pPr>
      <w:r w:rsidRPr="007B5C70">
        <w:t>9.</w:t>
      </w:r>
      <w:r w:rsidRPr="007B5C70">
        <w:tab/>
        <w:t>apstiprina šai rezolūcijai pievienoto lēmumu;</w:t>
      </w:r>
    </w:p>
    <w:p w:rsidR="00282309" w:rsidRPr="007B5C70" w:rsidRDefault="00282309" w:rsidP="00282309">
      <w:pPr>
        <w:spacing w:after="240"/>
        <w:ind w:left="567" w:hanging="567"/>
      </w:pPr>
      <w:r w:rsidRPr="007B5C70">
        <w:t>10.</w:t>
      </w:r>
      <w:r w:rsidRPr="007B5C70">
        <w:tab/>
        <w:t xml:space="preserve">uzdod priekšsēdētājai parakstīt šo lēmumu kopā ar Padomes priekšsēdētāju un nodrošināt tā publicēšanu </w:t>
      </w:r>
      <w:r w:rsidRPr="007B5C70">
        <w:rPr>
          <w:i/>
        </w:rPr>
        <w:t>Eiropas Savienības Oficiālajā Vēstnesī</w:t>
      </w:r>
      <w:r w:rsidRPr="007B5C70">
        <w:t>;</w:t>
      </w:r>
    </w:p>
    <w:p w:rsidR="00282309" w:rsidRPr="007B5C70" w:rsidRDefault="00282309" w:rsidP="00282309">
      <w:pPr>
        <w:spacing w:after="240"/>
        <w:ind w:left="567" w:hanging="567"/>
      </w:pPr>
      <w:r w:rsidRPr="007B5C70">
        <w:t>11.</w:t>
      </w:r>
      <w:r w:rsidRPr="007B5C70">
        <w:tab/>
        <w:t>uzdod priekšsēdētājai šo rezolūciju, kā arī tās pielikumu nosūtīt Padomei un Komisijai.</w:t>
      </w:r>
    </w:p>
    <w:p w:rsidR="00282309" w:rsidRPr="007B5C70" w:rsidRDefault="00282309" w:rsidP="00282309">
      <w:pPr>
        <w:pStyle w:val="EPComma"/>
        <w:rPr>
          <w:noProof/>
        </w:rPr>
      </w:pPr>
    </w:p>
    <w:p w:rsidR="00282309" w:rsidRPr="007B5C70" w:rsidRDefault="00282309" w:rsidP="00282309">
      <w:pPr>
        <w:pStyle w:val="PageHeading"/>
        <w:rPr>
          <w:noProof/>
        </w:rPr>
        <w:sectPr w:rsidR="00282309" w:rsidRPr="007B5C70" w:rsidSect="007B5C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92AC3" w:rsidRPr="00B5309D" w:rsidRDefault="00282309" w:rsidP="00B5309D">
      <w:pPr>
        <w:pStyle w:val="PageHeading"/>
        <w:rPr>
          <w:rFonts w:ascii="Times New Roman" w:hAnsi="Times New Roman" w:cs="Times New Roman"/>
        </w:rPr>
      </w:pPr>
      <w:bookmarkStart w:id="8" w:name="_Toc178598806"/>
      <w:r w:rsidRPr="00B5309D">
        <w:rPr>
          <w:rFonts w:ascii="Times New Roman" w:hAnsi="Times New Roman" w:cs="Times New Roman"/>
        </w:rPr>
        <w:lastRenderedPageBreak/>
        <w:t>PIELIKUMS</w:t>
      </w:r>
    </w:p>
    <w:p w:rsidR="00282309" w:rsidRPr="00B5309D" w:rsidRDefault="00282309" w:rsidP="00282309">
      <w:pPr>
        <w:pStyle w:val="PageHeading"/>
        <w:rPr>
          <w:rFonts w:ascii="Times New Roman" w:hAnsi="Times New Roman" w:cs="Times New Roman"/>
          <w:noProof/>
        </w:rPr>
      </w:pPr>
      <w:r w:rsidRPr="00B5309D">
        <w:rPr>
          <w:rFonts w:ascii="Times New Roman" w:hAnsi="Times New Roman" w:cs="Times New Roman"/>
        </w:rPr>
        <w:t>EIROPAS PARLAMENTA UN PADOMES LĒMUMS</w:t>
      </w:r>
      <w:bookmarkEnd w:id="8"/>
    </w:p>
    <w:p w:rsidR="00282309" w:rsidRPr="00B5309D" w:rsidRDefault="00282309" w:rsidP="00282309">
      <w:pPr>
        <w:pStyle w:val="Titreobjet"/>
      </w:pPr>
      <w:r w:rsidRPr="00B5309D">
        <w:t xml:space="preserve">par </w:t>
      </w:r>
      <w:bookmarkStart w:id="9" w:name="_GoBack"/>
      <w:bookmarkEnd w:id="9"/>
      <w:r w:rsidR="00F33BD5" w:rsidRPr="00F33BD5">
        <w:t>Eiropas Savienības Solidaritātes fonda izmantošanu, lai sniegtu palīdzību Itālijai, Slovēnijai, Austrijai, Grieķijai un Francijai saistībā ar sešām dabas katastrofām 2023. gadā</w:t>
      </w:r>
    </w:p>
    <w:p w:rsidR="00282309" w:rsidRPr="00B5309D" w:rsidRDefault="00B5309D" w:rsidP="00282309">
      <w:pPr>
        <w:rPr>
          <w:noProof/>
        </w:rPr>
      </w:pPr>
      <w:r w:rsidRPr="00B5309D">
        <w:rPr>
          <w:i/>
          <w:iCs/>
          <w:noProof/>
        </w:rPr>
        <w:t>(Šā pielikuma teksts šeit nav iekļauts, jo tas atbilst galīgajam aktam – Lēmumam (ES) 20</w:t>
      </w:r>
      <w:r w:rsidRPr="00B5309D">
        <w:rPr>
          <w:i/>
          <w:iCs/>
          <w:noProof/>
        </w:rPr>
        <w:t>24</w:t>
      </w:r>
      <w:r w:rsidRPr="00B5309D">
        <w:rPr>
          <w:i/>
          <w:iCs/>
          <w:noProof/>
        </w:rPr>
        <w:t>/</w:t>
      </w:r>
      <w:r w:rsidRPr="00B5309D">
        <w:rPr>
          <w:i/>
          <w:iCs/>
          <w:noProof/>
        </w:rPr>
        <w:t>2772</w:t>
      </w:r>
      <w:r w:rsidRPr="00B5309D">
        <w:rPr>
          <w:i/>
          <w:iCs/>
          <w:noProof/>
        </w:rPr>
        <w:t>.)</w:t>
      </w:r>
    </w:p>
    <w:sectPr w:rsidR="00282309" w:rsidRPr="00B5309D" w:rsidSect="007B5C7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018" w:rsidRPr="007B5C70" w:rsidRDefault="00FB3018">
      <w:r w:rsidRPr="007B5C70">
        <w:separator/>
      </w:r>
    </w:p>
  </w:endnote>
  <w:endnote w:type="continuationSeparator" w:id="0">
    <w:p w:rsidR="00FB3018" w:rsidRPr="007B5C70" w:rsidRDefault="00FB3018">
      <w:r w:rsidRPr="007B5C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09" w:rsidRPr="007B5C70" w:rsidRDefault="00282309" w:rsidP="00272E8C">
    <w:pPr>
      <w:pStyle w:val="EPFooter"/>
    </w:pPr>
    <w:r w:rsidRPr="007B5C70">
      <w:t>PE</w:t>
    </w:r>
    <w:r w:rsidRPr="007B5C70">
      <w:rPr>
        <w:rStyle w:val="HideTWBExt"/>
      </w:rPr>
      <w:t>&lt;NoPE&gt;</w:t>
    </w:r>
    <w:r w:rsidRPr="007B5C70">
      <w:t>763.077</w:t>
    </w:r>
    <w:r w:rsidRPr="007B5C70">
      <w:rPr>
        <w:rStyle w:val="HideTWBExt"/>
      </w:rPr>
      <w:t>&lt;/NoPE&gt;&lt;Version&gt;</w:t>
    </w:r>
    <w:r w:rsidRPr="007B5C70">
      <w:t>v02-00</w:t>
    </w:r>
    <w:r w:rsidRPr="007B5C70">
      <w:rPr>
        <w:rStyle w:val="HideTWBExt"/>
      </w:rPr>
      <w:t>&lt;/Version&gt;</w:t>
    </w:r>
    <w:r w:rsidRPr="007B5C70">
      <w:tab/>
    </w:r>
    <w:r w:rsidRPr="007B5C70">
      <w:fldChar w:fldCharType="begin"/>
    </w:r>
    <w:r w:rsidRPr="007B5C70">
      <w:instrText xml:space="preserve"> PAGE  \* MERGEFORMAT </w:instrText>
    </w:r>
    <w:r w:rsidRPr="007B5C70">
      <w:fldChar w:fldCharType="separate"/>
    </w:r>
    <w:r w:rsidR="007B5C70" w:rsidRPr="007B5C70">
      <w:rPr>
        <w:noProof/>
      </w:rPr>
      <w:t>2</w:t>
    </w:r>
    <w:r w:rsidRPr="007B5C70">
      <w:fldChar w:fldCharType="end"/>
    </w:r>
    <w:r w:rsidRPr="007B5C70">
      <w:t>/</w:t>
    </w:r>
    <w:fldSimple w:instr=" NUMPAGES  \* MERGEFORMAT ">
      <w:r w:rsidR="007B5C70" w:rsidRPr="007B5C70">
        <w:rPr>
          <w:noProof/>
        </w:rPr>
        <w:t>7</w:t>
      </w:r>
    </w:fldSimple>
    <w:r w:rsidRPr="007B5C70">
      <w:tab/>
    </w:r>
    <w:r w:rsidRPr="007B5C70">
      <w:rPr>
        <w:rStyle w:val="HideTWBExt"/>
      </w:rPr>
      <w:t>&lt;PathFdR&gt;</w:t>
    </w:r>
    <w:r w:rsidRPr="007B5C70">
      <w:t>RR\1307237LV.docx</w:t>
    </w:r>
    <w:r w:rsidRPr="007B5C70">
      <w:rPr>
        <w:rStyle w:val="HideTWBExt"/>
      </w:rPr>
      <w:t>&lt;/PathFdR&gt;</w:t>
    </w:r>
  </w:p>
  <w:p w:rsidR="00282309" w:rsidRPr="007B5C70" w:rsidRDefault="00282309" w:rsidP="00272E8C">
    <w:pPr>
      <w:pStyle w:val="EPFooter2"/>
    </w:pPr>
    <w:r w:rsidRPr="007B5C70">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09" w:rsidRPr="007B5C70" w:rsidRDefault="00282309" w:rsidP="00272E8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09" w:rsidRPr="007B5C70" w:rsidRDefault="00282309" w:rsidP="00272E8C">
    <w:pPr>
      <w:pStyle w:val="EPFooter"/>
    </w:pPr>
    <w:r w:rsidRPr="007B5C70">
      <w:rPr>
        <w:rStyle w:val="HideTWBExt"/>
      </w:rPr>
      <w:t>&lt;PathFdR&gt;</w:t>
    </w:r>
    <w:r w:rsidRPr="007B5C70">
      <w:t>RR\1307237LV.docx</w:t>
    </w:r>
    <w:r w:rsidRPr="007B5C70">
      <w:rPr>
        <w:rStyle w:val="HideTWBExt"/>
      </w:rPr>
      <w:t>&lt;/PathFdR&gt;</w:t>
    </w:r>
    <w:r w:rsidRPr="007B5C70">
      <w:tab/>
    </w:r>
    <w:r w:rsidRPr="007B5C70">
      <w:tab/>
      <w:t>PE</w:t>
    </w:r>
    <w:r w:rsidRPr="007B5C70">
      <w:rPr>
        <w:rStyle w:val="HideTWBExt"/>
      </w:rPr>
      <w:t>&lt;NoPE&gt;</w:t>
    </w:r>
    <w:r w:rsidRPr="007B5C70">
      <w:t>763.077</w:t>
    </w:r>
    <w:r w:rsidRPr="007B5C70">
      <w:rPr>
        <w:rStyle w:val="HideTWBExt"/>
      </w:rPr>
      <w:t>&lt;/NoPE&gt;&lt;Version&gt;</w:t>
    </w:r>
    <w:r w:rsidRPr="007B5C70">
      <w:t>v02-00</w:t>
    </w:r>
    <w:r w:rsidRPr="007B5C70">
      <w:rPr>
        <w:rStyle w:val="HideTWBExt"/>
      </w:rPr>
      <w:t>&lt;/Version&gt;</w:t>
    </w:r>
  </w:p>
  <w:p w:rsidR="00282309" w:rsidRPr="007B5C70" w:rsidRDefault="00282309" w:rsidP="00272E8C">
    <w:pPr>
      <w:pStyle w:val="EPFooter2"/>
    </w:pPr>
    <w:r w:rsidRPr="007B5C70">
      <w:t>LV</w:t>
    </w:r>
    <w:r w:rsidRPr="007B5C70">
      <w:tab/>
    </w:r>
    <w:r w:rsidRPr="007B5C70">
      <w:rPr>
        <w:b w:val="0"/>
        <w:i/>
        <w:color w:val="C0C0C0"/>
        <w:sz w:val="22"/>
      </w:rPr>
      <w:t>Vienoti daudzveidībā</w:t>
    </w:r>
    <w:r w:rsidRPr="007B5C70">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7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7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018" w:rsidRPr="007B5C70" w:rsidRDefault="00FB3018">
      <w:r w:rsidRPr="007B5C70">
        <w:separator/>
      </w:r>
    </w:p>
  </w:footnote>
  <w:footnote w:type="continuationSeparator" w:id="0">
    <w:p w:rsidR="00FB3018" w:rsidRPr="007B5C70" w:rsidRDefault="00FB3018">
      <w:r w:rsidRPr="007B5C70">
        <w:continuationSeparator/>
      </w:r>
    </w:p>
  </w:footnote>
  <w:footnote w:id="1">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 xml:space="preserve">OV L 311, 14.11.2002., 3. lpp., ELI: </w:t>
      </w:r>
      <w:hyperlink r:id="rId1" w:history="1">
        <w:r w:rsidRPr="007B5C70">
          <w:rPr>
            <w:rStyle w:val="Hyperlink"/>
            <w:sz w:val="24"/>
            <w:lang w:val="lv-LV"/>
          </w:rPr>
          <w:t>https://eur-lex.europa.eu/eli/reg/2002/2012/oj?locale=lv</w:t>
        </w:r>
      </w:hyperlink>
      <w:r w:rsidRPr="007B5C70">
        <w:rPr>
          <w:sz w:val="24"/>
          <w:lang w:val="lv-LV"/>
        </w:rPr>
        <w:t>.</w:t>
      </w:r>
    </w:p>
  </w:footnote>
  <w:footnote w:id="2">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 xml:space="preserve">OV L 433 I, 22.12.2020., 11. lpp., ELI: </w:t>
      </w:r>
      <w:r w:rsidR="00F33BD5">
        <w:fldChar w:fldCharType="begin"/>
      </w:r>
      <w:r w:rsidR="00F33BD5" w:rsidRPr="00B5309D">
        <w:rPr>
          <w:lang w:val="sv-SE"/>
        </w:rPr>
        <w:instrText xml:space="preserve"> HYPERLINK "http://data.europa.eu/eli/reg/2020/2093/oj?locale=lv" </w:instrText>
      </w:r>
      <w:r w:rsidR="00F33BD5">
        <w:fldChar w:fldCharType="separate"/>
      </w:r>
      <w:r w:rsidRPr="007B5C70">
        <w:rPr>
          <w:rStyle w:val="Hyperlink"/>
          <w:sz w:val="24"/>
          <w:lang w:val="lv-LV"/>
        </w:rPr>
        <w:t>http://data.europa.eu/eli/reg/2020/2093/oj?locale=lv</w:t>
      </w:r>
      <w:r w:rsidR="00F33BD5">
        <w:rPr>
          <w:rStyle w:val="Hyperlink"/>
          <w:sz w:val="24"/>
          <w:lang w:val="lv-LV"/>
        </w:rPr>
        <w:fldChar w:fldCharType="end"/>
      </w:r>
      <w:r w:rsidRPr="007B5C70">
        <w:rPr>
          <w:sz w:val="24"/>
          <w:lang w:val="lv-LV"/>
        </w:rPr>
        <w:t>.</w:t>
      </w:r>
    </w:p>
  </w:footnote>
  <w:footnote w:id="3">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 xml:space="preserve">OV L 433 I, 22.12.2020., 28. lpp., ELI: </w:t>
      </w:r>
      <w:r w:rsidR="00F33BD5">
        <w:fldChar w:fldCharType="begin"/>
      </w:r>
      <w:r w:rsidR="00F33BD5" w:rsidRPr="00B5309D">
        <w:rPr>
          <w:lang w:val="sv-SE"/>
        </w:rPr>
        <w:instrText xml:space="preserve"> HYPERLINK "https://eur-lex.europa.eu/eli/agree_interinstit/2020/1222/oj?locale=lv" </w:instrText>
      </w:r>
      <w:r w:rsidR="00F33BD5">
        <w:fldChar w:fldCharType="separate"/>
      </w:r>
      <w:r w:rsidRPr="007B5C70">
        <w:rPr>
          <w:rStyle w:val="Hyperlink"/>
          <w:sz w:val="24"/>
          <w:lang w:val="lv-LV"/>
        </w:rPr>
        <w:t>https://eur-lex.europa.eu/eli/agree_interinstit/2020/1222/oj?locale=lv</w:t>
      </w:r>
      <w:r w:rsidR="00F33BD5">
        <w:rPr>
          <w:rStyle w:val="Hyperlink"/>
          <w:sz w:val="24"/>
          <w:lang w:val="lv-LV"/>
        </w:rPr>
        <w:fldChar w:fldCharType="end"/>
      </w:r>
      <w:r w:rsidRPr="007B5C70">
        <w:rPr>
          <w:sz w:val="24"/>
          <w:lang w:val="lv-LV"/>
        </w:rPr>
        <w:t>.</w:t>
      </w:r>
    </w:p>
  </w:footnote>
  <w:footnote w:id="4">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 xml:space="preserve">OV L 231, 30.6.2021., 60. lpp., ELI: </w:t>
      </w:r>
      <w:r w:rsidR="00F33BD5">
        <w:fldChar w:fldCharType="begin"/>
      </w:r>
      <w:r w:rsidR="00F33BD5" w:rsidRPr="00B5309D">
        <w:rPr>
          <w:lang w:val="fi-FI"/>
        </w:rPr>
        <w:instrText xml:space="preserve"> HYPERLINK "http://data.europa.eu/eli/reg/2021/1058/oj?locale=lv" </w:instrText>
      </w:r>
      <w:r w:rsidR="00F33BD5">
        <w:fldChar w:fldCharType="separate"/>
      </w:r>
      <w:r w:rsidRPr="007B5C70">
        <w:rPr>
          <w:rStyle w:val="Hyperlink"/>
          <w:sz w:val="24"/>
          <w:lang w:val="lv-LV"/>
        </w:rPr>
        <w:t>http://data.europa.eu/eli/reg/2021/1058/oj?locale=lv</w:t>
      </w:r>
      <w:r w:rsidR="00F33BD5">
        <w:rPr>
          <w:rStyle w:val="Hyperlink"/>
          <w:sz w:val="24"/>
          <w:lang w:val="lv-LV"/>
        </w:rPr>
        <w:fldChar w:fldCharType="end"/>
      </w:r>
      <w:r w:rsidRPr="007B5C70">
        <w:rPr>
          <w:sz w:val="24"/>
          <w:lang w:val="lv-LV"/>
        </w:rPr>
        <w:t>.</w:t>
      </w:r>
    </w:p>
  </w:footnote>
  <w:footnote w:id="5">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Pieņemtie teksti, P9_TA(2024)0082.</w:t>
      </w:r>
    </w:p>
  </w:footnote>
  <w:footnote w:id="6">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OV C 184, 5.5.2022., 82. lpp.</w:t>
      </w:r>
    </w:p>
  </w:footnote>
  <w:footnote w:id="7">
    <w:p w:rsidR="00282309" w:rsidRPr="007B5C70" w:rsidRDefault="00282309" w:rsidP="007B5C70">
      <w:pPr>
        <w:pStyle w:val="FootnoteText"/>
        <w:ind w:left="567" w:hanging="567"/>
        <w:rPr>
          <w:sz w:val="24"/>
          <w:lang w:val="lv-LV"/>
        </w:rPr>
      </w:pPr>
      <w:r w:rsidRPr="007B5C70">
        <w:rPr>
          <w:rStyle w:val="FootnoteReference"/>
          <w:sz w:val="24"/>
          <w:lang w:val="lv-LV"/>
        </w:rPr>
        <w:footnoteRef/>
      </w:r>
      <w:r w:rsidR="007B5C70" w:rsidRPr="007B5C70">
        <w:rPr>
          <w:sz w:val="24"/>
          <w:lang w:val="lv-LV"/>
        </w:rPr>
        <w:t xml:space="preserve"> </w:t>
      </w:r>
      <w:r w:rsidR="007B5C70" w:rsidRPr="007B5C70">
        <w:rPr>
          <w:sz w:val="24"/>
          <w:lang w:val="lv-LV"/>
        </w:rPr>
        <w:tab/>
      </w:r>
      <w:r w:rsidRPr="007B5C70">
        <w:rPr>
          <w:sz w:val="24"/>
          <w:lang w:val="lv-LV"/>
        </w:rPr>
        <w:t>OV C 15, 12.1.2022., 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09" w:rsidRPr="007B5C70" w:rsidRDefault="002823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09" w:rsidRPr="007B5C70" w:rsidRDefault="002823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09" w:rsidRPr="007B5C70" w:rsidRDefault="002823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7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7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B5C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2/2024"/>
    <w:docVar w:name="dvlangue" w:val="LV"/>
    <w:docVar w:name="dvnumam" w:val="0"/>
    <w:docVar w:name="dvpe" w:val="763.077"/>
    <w:docVar w:name="dvrapporteur" w:val="Referents: "/>
    <w:docVar w:name="dvtitre" w:val="Eiropas Parlamenta 2024. gada XX. XXX  rezolūcija par priekšlikumu Eiropas Parlamenta un Padomes lēmumam par Eiropas Savienības Solidaritātes fonda izmantošanu, lai sniegtu palīdzību Itālijai, Slovēnijai, Austrijai, Grieķijai un Francijai saistībā ar sešām dabas katastrofām 2023. gadā(COM(2024)0325 – C10-0088/2024 – 2024/0212(BUD))"/>
  </w:docVars>
  <w:rsids>
    <w:rsidRoot w:val="00FB3018"/>
    <w:rsid w:val="00002272"/>
    <w:rsid w:val="00064002"/>
    <w:rsid w:val="000677B9"/>
    <w:rsid w:val="000831BA"/>
    <w:rsid w:val="000A42CC"/>
    <w:rsid w:val="000E7DD9"/>
    <w:rsid w:val="0010095E"/>
    <w:rsid w:val="00125B37"/>
    <w:rsid w:val="00187494"/>
    <w:rsid w:val="001A0644"/>
    <w:rsid w:val="001F32AE"/>
    <w:rsid w:val="002767FF"/>
    <w:rsid w:val="00282309"/>
    <w:rsid w:val="002B18FE"/>
    <w:rsid w:val="002B5493"/>
    <w:rsid w:val="00343214"/>
    <w:rsid w:val="00361C00"/>
    <w:rsid w:val="00392AC3"/>
    <w:rsid w:val="00395FA1"/>
    <w:rsid w:val="003E15D4"/>
    <w:rsid w:val="00411CCE"/>
    <w:rsid w:val="0041666E"/>
    <w:rsid w:val="00421060"/>
    <w:rsid w:val="00471C19"/>
    <w:rsid w:val="004867E3"/>
    <w:rsid w:val="00494A28"/>
    <w:rsid w:val="004A2AD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5C7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309D"/>
    <w:rsid w:val="00B558F0"/>
    <w:rsid w:val="00BD48FE"/>
    <w:rsid w:val="00BD7BD8"/>
    <w:rsid w:val="00BE6ADC"/>
    <w:rsid w:val="00C05BFE"/>
    <w:rsid w:val="00C23CD4"/>
    <w:rsid w:val="00C61C0C"/>
    <w:rsid w:val="00C941CB"/>
    <w:rsid w:val="00CC2357"/>
    <w:rsid w:val="00CF071A"/>
    <w:rsid w:val="00D058B8"/>
    <w:rsid w:val="00D0645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BD5"/>
    <w:rsid w:val="00F5134D"/>
    <w:rsid w:val="00F74202"/>
    <w:rsid w:val="00F75BFC"/>
    <w:rsid w:val="00F87713"/>
    <w:rsid w:val="00FB301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1692E"/>
  <w15:chartTrackingRefBased/>
  <w15:docId w15:val="{65B5A47D-5186-43E3-8F63-4A0C09D3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230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82309"/>
    <w:pPr>
      <w:keepNext/>
      <w:spacing w:after="480"/>
      <w:jc w:val="center"/>
    </w:pPr>
    <w:rPr>
      <w:rFonts w:ascii="Arial" w:hAnsi="Arial" w:cs="Arial"/>
      <w:b/>
    </w:rPr>
  </w:style>
  <w:style w:type="paragraph" w:customStyle="1" w:styleId="NormalBold">
    <w:name w:val="NormalBold"/>
    <w:basedOn w:val="Normal"/>
    <w:rsid w:val="00282309"/>
    <w:rPr>
      <w:b/>
    </w:rPr>
  </w:style>
  <w:style w:type="paragraph" w:customStyle="1" w:styleId="NormalHanging12a">
    <w:name w:val="NormalHanging12a"/>
    <w:basedOn w:val="Normal"/>
    <w:link w:val="NormalHanging12aChar"/>
    <w:rsid w:val="00282309"/>
    <w:pPr>
      <w:spacing w:after="240"/>
      <w:ind w:left="567" w:hanging="567"/>
    </w:pPr>
  </w:style>
  <w:style w:type="paragraph" w:styleId="Header">
    <w:name w:val="header"/>
    <w:basedOn w:val="Normal"/>
    <w:link w:val="HeaderChar"/>
    <w:rsid w:val="00282309"/>
    <w:pPr>
      <w:tabs>
        <w:tab w:val="center" w:pos="4513"/>
        <w:tab w:val="right" w:pos="9026"/>
      </w:tabs>
    </w:pPr>
  </w:style>
  <w:style w:type="character" w:customStyle="1" w:styleId="HeaderChar">
    <w:name w:val="Header Char"/>
    <w:basedOn w:val="DefaultParagraphFont"/>
    <w:link w:val="Header"/>
    <w:rsid w:val="00282309"/>
    <w:rPr>
      <w:sz w:val="24"/>
      <w:lang w:val="lv-LV"/>
    </w:rPr>
  </w:style>
  <w:style w:type="paragraph" w:customStyle="1" w:styleId="EPFooter">
    <w:name w:val="EPFooter"/>
    <w:basedOn w:val="Normal"/>
    <w:rsid w:val="00282309"/>
    <w:pPr>
      <w:tabs>
        <w:tab w:val="center" w:pos="4535"/>
        <w:tab w:val="right" w:pos="9071"/>
      </w:tabs>
      <w:spacing w:before="240" w:after="240"/>
    </w:pPr>
    <w:rPr>
      <w:color w:val="010000"/>
      <w:sz w:val="22"/>
    </w:rPr>
  </w:style>
  <w:style w:type="paragraph" w:customStyle="1" w:styleId="EPComma">
    <w:name w:val="EPComma"/>
    <w:basedOn w:val="Normal"/>
    <w:rsid w:val="00282309"/>
    <w:pPr>
      <w:spacing w:before="480" w:after="240"/>
    </w:pPr>
  </w:style>
  <w:style w:type="character" w:styleId="Hyperlink">
    <w:name w:val="Hyperlink"/>
    <w:basedOn w:val="DefaultParagraphFont"/>
    <w:rsid w:val="00282309"/>
    <w:rPr>
      <w:color w:val="0563C1" w:themeColor="hyperlink"/>
      <w:u w:val="single"/>
    </w:rPr>
  </w:style>
  <w:style w:type="paragraph" w:styleId="NormalWeb">
    <w:name w:val="Normal (Web)"/>
    <w:basedOn w:val="Normal"/>
    <w:uiPriority w:val="99"/>
    <w:unhideWhenUsed/>
    <w:rsid w:val="00282309"/>
    <w:pPr>
      <w:widowControl/>
      <w:spacing w:before="100" w:beforeAutospacing="1" w:after="100" w:afterAutospacing="1"/>
    </w:pPr>
    <w:rPr>
      <w:szCs w:val="24"/>
    </w:rPr>
  </w:style>
  <w:style w:type="paragraph" w:customStyle="1" w:styleId="Institutionquisigne">
    <w:name w:val="Institution qui signe"/>
    <w:basedOn w:val="Normal"/>
    <w:next w:val="Normal"/>
    <w:rsid w:val="00282309"/>
    <w:pPr>
      <w:keepNext/>
      <w:widowControl/>
      <w:tabs>
        <w:tab w:val="left" w:pos="4252"/>
      </w:tabs>
      <w:spacing w:before="720"/>
      <w:jc w:val="both"/>
    </w:pPr>
    <w:rPr>
      <w:rFonts w:eastAsia="Calibri"/>
      <w:i/>
      <w:szCs w:val="22"/>
      <w:lang w:eastAsia="en-US"/>
    </w:rPr>
  </w:style>
  <w:style w:type="paragraph" w:customStyle="1" w:styleId="Point0">
    <w:name w:val="Point 0"/>
    <w:basedOn w:val="Normal"/>
    <w:rsid w:val="00282309"/>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8230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28230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8230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82309"/>
    <w:pPr>
      <w:keepNext/>
      <w:widowControl/>
      <w:spacing w:before="600" w:after="120"/>
      <w:jc w:val="both"/>
    </w:pPr>
    <w:rPr>
      <w:rFonts w:eastAsiaTheme="minorHAnsi"/>
      <w:szCs w:val="22"/>
      <w:lang w:eastAsia="en-US"/>
    </w:rPr>
  </w:style>
  <w:style w:type="paragraph" w:customStyle="1" w:styleId="Titreobjet">
    <w:name w:val="Titre objet"/>
    <w:basedOn w:val="Normal"/>
    <w:next w:val="Normal"/>
    <w:rsid w:val="00282309"/>
    <w:pPr>
      <w:widowControl/>
      <w:spacing w:before="360" w:after="360"/>
      <w:jc w:val="center"/>
    </w:pPr>
    <w:rPr>
      <w:rFonts w:eastAsiaTheme="minorHAnsi"/>
      <w:b/>
      <w:szCs w:val="22"/>
      <w:lang w:eastAsia="en-US"/>
    </w:rPr>
  </w:style>
  <w:style w:type="character" w:customStyle="1" w:styleId="NormalHanging12aChar">
    <w:name w:val="NormalHanging12a Char"/>
    <w:basedOn w:val="DefaultParagraphFont"/>
    <w:link w:val="NormalHanging12a"/>
    <w:locked/>
    <w:rsid w:val="00282309"/>
    <w:rPr>
      <w:sz w:val="24"/>
      <w:lang w:val="lv-LV"/>
    </w:rPr>
  </w:style>
  <w:style w:type="paragraph" w:styleId="BalloonText">
    <w:name w:val="Balloon Text"/>
    <w:basedOn w:val="Normal"/>
    <w:link w:val="BalloonTextChar"/>
    <w:rsid w:val="00392AC3"/>
    <w:rPr>
      <w:rFonts w:ascii="Segoe UI" w:hAnsi="Segoe UI" w:cs="Segoe UI"/>
      <w:sz w:val="18"/>
      <w:szCs w:val="18"/>
    </w:rPr>
  </w:style>
  <w:style w:type="character" w:customStyle="1" w:styleId="BalloonTextChar">
    <w:name w:val="Balloon Text Char"/>
    <w:basedOn w:val="DefaultParagraphFont"/>
    <w:link w:val="BalloonText"/>
    <w:rsid w:val="00392AC3"/>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02/2012/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F4FBC-695A-4E5C-B6A5-A8F0898DB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7705</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2024-11-12T09:34:00Z</dcterms:created>
  <dcterms:modified xsi:type="dcterms:W3CDTF">2024-11-12T09:34:00Z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P10_TA(2024)0015_</vt:lpwstr>
  </property>
  <property fmtid="{D5CDD505-2E9C-101B-9397-08002B2CF9AE}" pid="4" name="&lt;Type&gt;">
    <vt:lpwstr>RR</vt:lpwstr>
  </property>
</Properties>
</file>