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P10_TA(2024)0015</w:t>
      </w:r>
      <w:bookmarkEnd w:id="0"/>
    </w:p>
    <w:p>
      <w:pPr>
        <w:pStyle w:val="ATHeading2"/>
      </w:pPr>
      <w:bookmarkStart w:id="1" w:name="title"/>
      <w:r>
        <w:t>Mobilizácia Fondu solidarity Európskej únie: pomoc Taliansku, Slovinsku, Rakúsku, Grécku a Francúzsku v súvislosti so živelnými pohromami, ku ktorým došlo v roku 2023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A10-0002/2024</w:instrText>
      </w:r>
      <w:bookmarkEnd w:id="2"/>
      <w:r>
        <w:rPr>
          <w:i/>
        </w:rPr>
        <w:instrText xml:space="preserve"> - Spravodajca: Georgios Aftias)"\l3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PE763.077</w:t>
      </w:r>
      <w:bookmarkEnd w:id="4"/>
    </w:p>
    <w:p>
      <w:pPr>
        <w:pStyle w:val="ATHeading3"/>
      </w:pPr>
      <w:bookmarkStart w:id="5" w:name="Sujet"/>
      <w:r>
        <w:t>Uznesenie Európskeho parlamentu z 8. októbra 2024 o návrhu rozhodnutia Európskeho parlamentu a Rady o mobilizácii Fondu solidarity Európskej únie na účely poskytnutia pomoci Taliansku, Slovinsku, Rakúsku, Grécku a Francúzsku v súvislosti so šiestimi živelnými pohromami, ku ktorým došlo v roku 2023</w:t>
      </w:r>
      <w:bookmarkEnd w:id="5"/>
      <w:r>
        <w:t xml:space="preserve"> </w:t>
      </w:r>
      <w:bookmarkStart w:id="6" w:name="References"/>
      <w:r>
        <w:t>(COM(2024)0325 – C10-0088/2024 – 2024/0212(BUD))</w:t>
      </w:r>
      <w:bookmarkEnd w:id="6"/>
    </w:p>
    <w:p>
      <w:pPr>
        <w:pStyle w:val="EPComma"/>
        <w:rPr>
          <w:noProof/>
        </w:rPr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(COM(2024)0325 – C10</w:t>
      </w:r>
      <w:r>
        <w:noBreakHyphen/>
        <w:t>0088/2024),</w:t>
      </w:r>
    </w:p>
    <w:p>
      <w:pPr>
        <w:pStyle w:val="NormalHanging12a"/>
      </w:pPr>
      <w:r>
        <w:rPr>
          <w:b/>
          <w:i/>
        </w:rPr>
        <w:t>–</w:t>
      </w:r>
      <w:r>
        <w:rPr>
          <w:b/>
          <w:i/>
        </w:rPr>
        <w:tab/>
      </w:r>
      <w:r>
        <w:t>so zreteľom na článok 107 ods. 2 Zmluvy o fungovaní Európskej únie,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Rady (ES) č. 2012/2002 z 11. novembra 2002, ktorým sa zriaďuje Fond solidarity Európskej únie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Rady (EÚ, Euratom) 2020/2093 zo 17. decembra 2020, ktorým sa stanovuje viacročný finančný rámec na roky 2021 až 2027</w:t>
      </w:r>
      <w:r>
        <w:rPr>
          <w:rStyle w:val="FootnoteReference"/>
          <w:noProof/>
        </w:rPr>
        <w:footnoteReference w:id="2"/>
      </w:r>
      <w:r>
        <w:t>, a najmä na jeho článok 9,</w:t>
      </w:r>
    </w:p>
    <w:p>
      <w:pPr>
        <w:pStyle w:val="NormalHanging12a"/>
        <w:rPr>
          <w:noProof/>
        </w:rPr>
      </w:pPr>
      <w:r>
        <w:t>–</w:t>
      </w:r>
      <w:r>
        <w:tab/>
        <w:t>so zreteľom na Medziinštitucionálnu dohodu zo 16. decembra 2020 medzi Európskym parlamentom, Radou Európskej únie a Európskou komisiou o rozpočtovej disciplíne, spolupráci v rozpočtových záležitostiach a správnom finančnom riadení, ako aj o nových vlastných zdrojoch vrátane plánu na zavedenie nových vlastných zdrojov</w:t>
      </w:r>
      <w:r>
        <w:rPr>
          <w:rStyle w:val="FootnoteReference"/>
          <w:noProof/>
        </w:rPr>
        <w:footnoteReference w:id="3"/>
      </w:r>
      <w:r>
        <w:t>, a najmä na jej bod 10,</w:t>
      </w:r>
    </w:p>
    <w:p>
      <w:pPr>
        <w:pStyle w:val="NormalHanging12a"/>
      </w:pPr>
      <w:r>
        <w:t>–</w:t>
      </w:r>
      <w:r>
        <w:tab/>
        <w:t xml:space="preserve">so zreteľom na nariadenie Európskeho parlamentu a Rady (EÚ) 2021/1058 z 24. júna </w:t>
      </w:r>
      <w:r>
        <w:lastRenderedPageBreak/>
        <w:t>2021 o Európskom fonde regionálneho rozvoja a Kohéznom fonde</w:t>
      </w:r>
      <w:r>
        <w:rPr>
          <w:rStyle w:val="FootnoteReference"/>
        </w:rPr>
        <w:footnoteReference w:id="4"/>
      </w:r>
      <w:r>
        <w:t xml:space="preserve">, </w:t>
      </w:r>
    </w:p>
    <w:p>
      <w:pPr>
        <w:pStyle w:val="NormalWeb"/>
        <w:shd w:val="clear" w:color="auto" w:fill="FFFFFF"/>
        <w:ind w:left="567" w:hanging="567"/>
      </w:pPr>
      <w:r>
        <w:t>–</w:t>
      </w:r>
      <w:r>
        <w:tab/>
        <w:t>so zreteľom na svoje uznesenie z 27. februára 2024 o návrhu nariadenia Rady, ktorým sa mení nariadenie (EÚ, Euratom) 2020/2093, ktorým sa stanovuje viacročný finančný rámec na roky 2021 – 2027</w:t>
      </w:r>
      <w:r>
        <w:rPr>
          <w:rStyle w:val="FootnoteReference"/>
        </w:rPr>
        <w:footnoteReference w:id="5"/>
      </w:r>
      <w:r>
        <w:t>,</w:t>
      </w:r>
    </w:p>
    <w:p>
      <w:pPr>
        <w:pStyle w:val="NormalWeb"/>
        <w:shd w:val="clear" w:color="auto" w:fill="FFFFFF"/>
        <w:ind w:left="567" w:hanging="567"/>
      </w:pPr>
      <w:r>
        <w:t>–</w:t>
      </w:r>
      <w:r>
        <w:rPr>
          <w:b/>
          <w:i/>
        </w:rPr>
        <w:tab/>
      </w:r>
      <w:r>
        <w:t>so zreteľom na svoje uznesenie z 20. októbra 2021 o efektívnosti využitia finančných prostriedkov EÚ z Fondu solidarity v prípade prírodných katastrof členskými štátmi</w:t>
      </w:r>
      <w:r>
        <w:rPr>
          <w:rStyle w:val="FootnoteReference"/>
        </w:rPr>
        <w:footnoteReference w:id="6"/>
      </w:r>
      <w:r>
        <w:t>,</w:t>
      </w:r>
    </w:p>
    <w:p>
      <w:pPr>
        <w:pStyle w:val="NormalWeb"/>
        <w:shd w:val="clear" w:color="auto" w:fill="FFFFFF"/>
        <w:ind w:left="567" w:hanging="567"/>
      </w:pPr>
      <w:r>
        <w:t>–</w:t>
      </w:r>
      <w:r>
        <w:rPr>
          <w:b/>
          <w:i/>
        </w:rPr>
        <w:tab/>
      </w:r>
      <w:r>
        <w:t>so zreteľom na svoje uznesenie z 18. mája 2021 o preskúmaní Fondu solidarity Európskej únie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rPr>
          <w:b/>
          <w:i/>
        </w:rPr>
        <w:t>–</w:t>
      </w:r>
      <w:r>
        <w:rPr>
          <w:b/>
          <w:i/>
        </w:rPr>
        <w:tab/>
      </w:r>
      <w:r>
        <w:t>so zreteľom na správu EEA č. 1/2024 – Európske posúdenie klimatických rizík (EUCRA),</w:t>
      </w:r>
    </w:p>
    <w:p>
      <w:pPr>
        <w:pStyle w:val="NormalHanging12a"/>
      </w:pPr>
      <w:r>
        <w:t>–</w:t>
      </w:r>
      <w:r>
        <w:tab/>
        <w:t>so zreteľom na správu Výboru pre rozpočet (A10-0002/2024),</w:t>
      </w:r>
    </w:p>
    <w:p>
      <w:pPr>
        <w:pStyle w:val="NormalWeb"/>
        <w:shd w:val="clear" w:color="auto" w:fill="FFFFFF"/>
        <w:ind w:left="567" w:hanging="567"/>
      </w:pPr>
      <w:r>
        <w:t>A.</w:t>
      </w:r>
      <w:r>
        <w:tab/>
        <w:t>keďže od 1. do 17. mája 2023 sa v talianskom regióne Emilia-Romagna vyskytli mimoriadne intenzívne zrážky, ktoré viedli k záplavám s celkovými priamymi škodami, ktoré talianske orgány odhadli na 8,5 miliardy EUR;</w:t>
      </w:r>
    </w:p>
    <w:p>
      <w:pPr>
        <w:pStyle w:val="NormalHanging12a"/>
      </w:pPr>
      <w:r>
        <w:t>B.</w:t>
      </w:r>
      <w:r>
        <w:tab/>
        <w:t>keďže od 3. do 6. augusta 2023 bolo Slovinsko postihnuté silnými zrážkami, ktoré v celej krajine prerástli do povodní a boli jeho najhoršou prírodnou katastrofou, pričom podľa Komisie spôsobili celkové priame škody vo výške 7,3 miliardy EUR;</w:t>
      </w:r>
    </w:p>
    <w:p>
      <w:pPr>
        <w:pStyle w:val="NormalWeb"/>
        <w:shd w:val="clear" w:color="auto" w:fill="FFFFFF"/>
        <w:ind w:left="567" w:hanging="567"/>
      </w:pPr>
      <w:r>
        <w:t>C.</w:t>
      </w:r>
      <w:r>
        <w:tab/>
        <w:t>keďže od 3. do 6. augusta 2023 zasiahli Rakúsko silné zrážky, ktoré v južných regiónoch krajiny viedli k povodniam s celkovými priamymi škodami odhadovanými rakúskymi orgánmi na 208 miliónov EUR;</w:t>
      </w:r>
    </w:p>
    <w:p>
      <w:pPr>
        <w:pStyle w:val="NormalWeb"/>
        <w:shd w:val="clear" w:color="auto" w:fill="FFFFFF"/>
        <w:ind w:left="567" w:hanging="567"/>
      </w:pPr>
      <w:r>
        <w:t>D.</w:t>
      </w:r>
      <w:r>
        <w:tab/>
        <w:t>keďže od 4. do 11. septembra 2023 zasiahla Grécko stredomorská búrka Daniel, ktorá spôsobila silné dažde a na viacerých miestach v strednom Grécku, najmä v regióne Tesália, viedla k povodniam s celkovými priamymi škodami vo výške 2,3 miliardy EUR podľa odhadov gréckych orgánov;</w:t>
      </w:r>
    </w:p>
    <w:p>
      <w:pPr>
        <w:pStyle w:val="NormalWeb"/>
        <w:shd w:val="clear" w:color="auto" w:fill="FFFFFF"/>
        <w:ind w:left="567" w:hanging="567"/>
      </w:pPr>
      <w:r>
        <w:t>E.</w:t>
      </w:r>
      <w:r>
        <w:tab/>
        <w:t>keďže od 25. októbra do 10. novembra 2023 sa v talianskom regióne Toskánsko vyskytli intenzívne zrážky, ktoré viedli k náhlym záplavám s celkovými priamymi škodami odhadovanými talianskymi orgánmi na 2,7 miliardy EUR;</w:t>
      </w:r>
    </w:p>
    <w:p>
      <w:pPr>
        <w:pStyle w:val="NormalWeb"/>
        <w:shd w:val="clear" w:color="auto" w:fill="FFFFFF"/>
        <w:ind w:left="567" w:hanging="567"/>
      </w:pPr>
      <w:r>
        <w:t>F.</w:t>
      </w:r>
      <w:r>
        <w:tab/>
        <w:t>keďže od 2. do 9. novembra 2023 bol bývalý francúzsky región Nord-Pas-de-Calais (teraz súčasť regiónu Hauts-de-France) zasiahnutý silnými dažďami, ktoré spôsobili povodne s celkovými priamymi škodami odhadovanými francúzskymi orgánmi na 1,9 miliardy EUR;</w:t>
      </w:r>
    </w:p>
    <w:p>
      <w:pPr>
        <w:spacing w:after="240"/>
        <w:ind w:left="567" w:hanging="567"/>
        <w:rPr>
          <w:szCs w:val="24"/>
          <w:shd w:val="clear" w:color="auto" w:fill="FFFFFF"/>
        </w:rPr>
      </w:pPr>
      <w:r>
        <w:t>1.</w:t>
      </w:r>
      <w:r>
        <w:tab/>
        <w:t>vyjadruje</w:t>
      </w:r>
      <w:r>
        <w:rPr>
          <w:shd w:val="clear" w:color="auto" w:fill="FFFFFF"/>
        </w:rPr>
        <w:t xml:space="preserve"> hlbokú solidaritu so všetkými obeťami, ich rodinami a všetkými osobami postihnutým ničivými povodňami v Taliansku, Slovinsku, Rakúsku, Grécku a Francúzsku, ako aj s vnútroštátnymi, regionálnymi a miestnymi orgánmi zapojenými do </w:t>
      </w:r>
      <w:r>
        <w:rPr>
          <w:shd w:val="clear" w:color="auto" w:fill="FFFFFF"/>
        </w:rPr>
        <w:lastRenderedPageBreak/>
        <w:t>poskytovania pomoci;</w:t>
      </w:r>
    </w:p>
    <w:p>
      <w:pPr>
        <w:spacing w:after="240"/>
        <w:ind w:left="567" w:hanging="567"/>
      </w:pPr>
      <w:r>
        <w:t>2.</w:t>
      </w:r>
      <w:r>
        <w:tab/>
        <w:t>víta toto rozhodnutie ako hmatateľnú a viditeľnú formu solidarity Únie s jej občanmi a regiónmi v postihnutých oblastiach Talianska, Slovinska, Rakúska, Grécka a Francúzska;</w:t>
      </w:r>
    </w:p>
    <w:p>
      <w:pPr>
        <w:spacing w:after="240"/>
        <w:ind w:left="567" w:hanging="567"/>
      </w:pPr>
      <w:r>
        <w:t>3.</w:t>
      </w:r>
      <w:r>
        <w:tab/>
        <w:t>opätovne pripomína, že je dôležité informovať verejnosť o reálnych výhodách, ktoré prináša Fond solidarity Európskej únie (ďalej len „fond solidarity“), a to aj s cieľom ďalej zvyšovať povedomie občanov o nástrojoch a programoch Únie;</w:t>
      </w:r>
    </w:p>
    <w:p>
      <w:pPr>
        <w:spacing w:after="240"/>
        <w:ind w:left="567" w:hanging="567"/>
      </w:pPr>
      <w:r>
        <w:t>4.</w:t>
      </w:r>
      <w:r>
        <w:tab/>
        <w:t>upozorňuje na rastúci počet závažných a ničivých prírodných katastrof v Európe a vyzýva členské štáty a Komisiu, aby investovali do opatrení na zmiernenie zmeny klímy a adaptáciu na ňu s cieľom zabrániť stratám na ľudských životoch a hospodárskym stratám; domnieva sa, že vzhľadom na nadchádzajúci návrh Komisie o novom viacročnom finančnom rámci a následné medziinštitucionálne rokovania by sa mal zvýšiť rozpočet fondu solidarity alebo jeho ekvivalentu; naliehavo vyzýva Komisiu, aby zvýšila rozpočet európskej rezervy na solidaritu a zabezpečila, že celková suma finančných prostriedkov a spôsoby prideľovania zaistia optimálnu účinnosť fondu solidarity;</w:t>
      </w:r>
    </w:p>
    <w:p>
      <w:pPr>
        <w:pStyle w:val="NormalHanging12a"/>
      </w:pPr>
      <w:r>
        <w:t>5.</w:t>
      </w:r>
      <w:r>
        <w:tab/>
        <w:t>zdôrazňuje, že v dôsledku zmeny klímy sú ostrovy a pobrežné regióny obzvlášť zraniteľné voči prírodným katastrofám; uznáva, že javy, ako sú zemetrasenia, záplavy, sopečné erupcie a suchá, ktoré majú vplyv aj na jazerá a rieky, predstavujú rastúcu hrozbu pre mnohé európske regióny, najmä regióny v Stredozemí; kladie si otázku, či je fond solidarity primerane zosúladený s núdzovými potrebami súvisiacimi s adaptáciou na zmenu klímy na týchto obzvlášť nestabilných územiach; domnieva sa preto, že ostrovy a pobrežné regióny by mali dostať primerané finančné prostriedky v rámci fondu solidarity na riešenie ich osobitných zraniteľných miest;</w:t>
      </w:r>
    </w:p>
    <w:p>
      <w:pPr>
        <w:spacing w:after="240"/>
        <w:ind w:left="567" w:hanging="567"/>
      </w:pPr>
      <w:r>
        <w:t>6.</w:t>
      </w:r>
      <w:r>
        <w:tab/>
        <w:t>zdôrazňuje, že fond solidarity je len nástrojom nápravy a že Únia by mala pokračovať aj v adaptácii na zmenu klímy a jej zmierňovaní tým, že bude podporovať európske a vnútroštátne politiky s cieľom predchádzať prírodným katastrofám; zdôrazňuje, že správa EEA č. 1/2024 s názvom „Európske hodnotenie klimatických rizík“ upozornila na nepripravenosť bloku na účinky zmeny klímy a že treba prijať opatrenia, ktoré zabránia tomu, aby zistené klimatické riziká dosiahli kritické úrovne; vyzýva členské štáty a Komisiu, aby prispeli k dosiahnutiu cieľov dohodnutých na parížskom samite o klíme; pripomína, že treba vytvoriť účinné synergie s ostatnými politikami a programami Únie a zdôrazňuje, že členské štáty by mali čo najlepšie využívať možnosti financovania, najmä z Európskeho fondu regionálneho rozvoja, Európskeho sociálneho fondu plus, Európskeho námorného, rybolovného a akvakultúrneho fondu, Kohézneho fondu a programov rozvoja vidieka; zdôrazňuje, že je takisto potrebné prijať preventívne opatrenia, a to nielen s cieľom zmierniť budúce škody, ale aj zabrániť zhoršeniu rizikových podmienok po katastrofických udalostiach, ako sú prírodné požiare, zosuvy pôdy alebo vysušovanie jazier a riek; zdôrazňuje význam primeranej flexibility medzi rôznymi programami; zdôrazňuje, že pomoc poskytovaná v rámci fondu solidarity by nemala byť na úkor finančných prostriedkov Únie, ktoré členské štáty prijímajú z iných programov alebo politík Únie; pripomína, že členské štáty môžu poskytovať štátnu pomoc v súlade s platnými pravidlami Únie, a to najmä poľnohospodárskym podnikom, ktoré utrpeli škody v dôsledku prírodných katastrof;</w:t>
      </w:r>
    </w:p>
    <w:p>
      <w:pPr>
        <w:spacing w:after="240"/>
        <w:ind w:left="567" w:hanging="567"/>
      </w:pPr>
      <w:r>
        <w:t xml:space="preserve">7. </w:t>
      </w:r>
      <w:r>
        <w:tab/>
        <w:t xml:space="preserve">pripomína význam rýchleho a spoľahlivého odhadovania škôd, pri ktorom sa náležite zohľadňujú hospodárske dôsledky, a vyzýva na posilnenie pracovného úsilia, aby sa </w:t>
      </w:r>
      <w:r>
        <w:lastRenderedPageBreak/>
        <w:t>skrátil priemerný čas na vyplatenie zálohových platieb a zároveň sa zaručila ochrana rozpočtu Únie; vyzýva Komisiu, aby ďalej zefektívnila postup a skrátila čas potrebný na spracovanie žiadostí o mobilizáciu fondu solidarity s cieľom urýchliť reakciu a zabezpečiť, aby sa finančné prostriedky dostali do postihnutých regiónov rýchlo, keďže prírodné katastrofy spôsobujú značné škody, ktoré narúšajú každodenný život a miestne hospodárstva; zdôrazňuje potrebu primeranej flexibility, keď v prijímajúcich krajinách dochádza k opodstatneným oneskoreniam a problémom pri podávaní žiadostí o pridelenie finančných prostriedkov a ich využívaní;</w:t>
      </w:r>
      <w:r>
        <w:rPr>
          <w:b/>
          <w:i/>
        </w:rPr>
        <w:t xml:space="preserve"> </w:t>
      </w:r>
      <w:r>
        <w:t xml:space="preserve">vyzýva členské štáty, aby brali do úvahy, že prírodné katastrofy postihujú najmä zraniteľné obyvateľstvo v dôsledku sociálno-ekonomických faktorov, ktoré ešte viac obmedzujú ich schopnosť zotaviť sa; </w:t>
      </w:r>
    </w:p>
    <w:p>
      <w:pPr>
        <w:spacing w:after="240"/>
        <w:ind w:left="567" w:hanging="567"/>
      </w:pPr>
      <w:r>
        <w:t>8.</w:t>
      </w:r>
      <w:r>
        <w:tab/>
        <w:t xml:space="preserve">zdôrazňuje naliehavú potrebu uvoľniť z fondu solidarity okamžitú finančnú pomoc, aby sa podpora mohla včas dostať do postihnutých regiónov; </w:t>
      </w:r>
    </w:p>
    <w:p>
      <w:pPr>
        <w:spacing w:after="240"/>
        <w:ind w:left="567" w:hanging="567"/>
      </w:pPr>
      <w:r>
        <w:t>9.</w:t>
      </w:r>
      <w:r>
        <w:tab/>
        <w:t>schvaľuje rozhodnutie, ktoré je uvedené v prílohe k tomuto uzneseniu;</w:t>
      </w:r>
    </w:p>
    <w:p>
      <w:pPr>
        <w:spacing w:after="240"/>
        <w:ind w:left="567" w:hanging="567"/>
      </w:pPr>
      <w:r>
        <w:t>10.</w:t>
      </w:r>
      <w:r>
        <w:tab/>
        <w:t xml:space="preserve">poveruje svoju predsedníčku, aby podpísala toto rozhodnutie spoločne s predsedom Rady a aby zabezpečila jeho uverejnenie v </w:t>
      </w:r>
      <w:r>
        <w:rPr>
          <w:i/>
        </w:rPr>
        <w:t>Úradnom vestníku Európskej únie</w:t>
      </w:r>
      <w:r>
        <w:t>;</w:t>
      </w:r>
    </w:p>
    <w:p>
      <w:pPr>
        <w:spacing w:after="240"/>
        <w:ind w:left="567" w:hanging="567"/>
      </w:pPr>
      <w:r>
        <w:t>11.</w:t>
      </w:r>
      <w:r>
        <w:tab/>
        <w:t>poveruje svoju predsedníčku, aby postúpila toto uznesenie spolu s prílohou Rade a Komisii.</w:t>
      </w:r>
    </w:p>
    <w:p>
      <w:pPr>
        <w:rPr>
          <w:noProof/>
        </w:rPr>
      </w:pPr>
    </w:p>
    <w:p>
      <w:pPr>
        <w:pStyle w:val="PageHeading"/>
        <w:rPr>
          <w:noProof/>
        </w:rPr>
        <w:sectPr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PageHeading"/>
        <w:rPr>
          <w:rFonts w:ascii="Times New Roman" w:hAnsi="Times New Roman" w:cs="Times New Roman"/>
        </w:rPr>
      </w:pPr>
      <w:bookmarkStart w:id="8" w:name="_Toc178760189"/>
      <w:r>
        <w:rPr>
          <w:rFonts w:ascii="Times New Roman" w:hAnsi="Times New Roman" w:cs="Times New Roman"/>
        </w:rPr>
        <w:lastRenderedPageBreak/>
        <w:t>PRÍLOHA</w:t>
      </w:r>
    </w:p>
    <w:p>
      <w:pPr>
        <w:pStyle w:val="PageHeading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ROZHODNUTIE EURÓPSKEHO PARLAMENTU A RADY</w:t>
      </w:r>
      <w:bookmarkEnd w:id="8"/>
    </w:p>
    <w:p>
      <w:pPr>
        <w:pStyle w:val="Titreobjet"/>
      </w:pPr>
      <w:r>
        <w:t>o mobilizácii Fondu solidarity Európskej únie na účely poskytnutia pomoci Taliansku, Slovinsku, Rakúsku, Grécku a Francúzsku v súvislosti so šiestimi živelnými pohromami, ku ktorým došlo v roku 2023</w:t>
      </w:r>
    </w:p>
    <w:p>
      <w:pPr>
        <w:rPr>
          <w:i/>
          <w:iCs/>
        </w:rPr>
      </w:pPr>
      <w:r>
        <w:rPr>
          <w:bCs/>
          <w:i/>
          <w:iCs/>
        </w:rPr>
        <w:t xml:space="preserve">(Znenie tejto prílohy sa neuvádza, pretože zodpovedá konečnému aktu, rozhodnutiu </w:t>
      </w:r>
      <w:r>
        <w:rPr>
          <w:bCs/>
          <w:i/>
          <w:iCs/>
          <w:rPrChange w:id="9" w:author="SUCHANOVA Monika" w:date="2017-09-25T16:01:00Z">
            <w:rPr>
              <w:bCs/>
              <w:i/>
              <w:iCs/>
            </w:rPr>
          </w:rPrChange>
        </w:rPr>
        <w:t xml:space="preserve">(EÚ) </w:t>
      </w:r>
      <w:r>
        <w:rPr>
          <w:bCs/>
          <w:i/>
          <w:iCs/>
        </w:rPr>
        <w:t>2024/2772</w:t>
      </w:r>
      <w:bookmarkStart w:id="10" w:name="_GoBack"/>
      <w:bookmarkEnd w:id="10"/>
      <w:r>
        <w:rPr>
          <w:bCs/>
          <w:i/>
          <w:iCs/>
        </w:rPr>
        <w:t>.)</w:t>
      </w:r>
    </w:p>
    <w:p>
      <w:pPr>
        <w:rPr>
          <w:lang w:eastAsia="en-US"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t>PE</w:t>
    </w:r>
    <w:r>
      <w:rPr>
        <w:rStyle w:val="HideTWBExt"/>
      </w:rPr>
      <w:t>&lt;NoPE&gt;</w:t>
    </w:r>
    <w:r>
      <w:t>763.077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9</w:t>
      </w:r>
    </w:fldSimple>
    <w:r>
      <w:tab/>
    </w:r>
    <w:r>
      <w:rPr>
        <w:rStyle w:val="HideTWBExt"/>
      </w:rPr>
      <w:t>&lt;PathFdR&gt;</w:t>
    </w:r>
    <w:r>
      <w:t>RR\1307237SK.docx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PFooter"/>
    </w:pPr>
    <w:r>
      <w:rPr>
        <w:rStyle w:val="HideTWBExt"/>
      </w:rPr>
      <w:t>&lt;PathFdR&gt;</w:t>
    </w:r>
    <w:r>
      <w:t>RR\1307237SK.docx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763.077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ES L 311, 14.11.2002, s. 3, ELI: </w:t>
      </w:r>
      <w:hyperlink r:id="rId1" w:history="1">
        <w:r>
          <w:rPr>
            <w:rStyle w:val="Hyperlink"/>
            <w:sz w:val="24"/>
            <w:lang w:val="fi-FI"/>
          </w:rPr>
          <w:t>http://data.europa.eu/eli/reg/2002/2012/oj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11, ELI: </w:t>
      </w:r>
      <w:hyperlink r:id="rId2" w:history="1">
        <w:r>
          <w:rPr>
            <w:rStyle w:val="Hyperlink"/>
            <w:sz w:val="24"/>
            <w:lang w:val="fi-FI"/>
          </w:rPr>
          <w:t>http://data.europa.eu/eli/reg/2020/2093/oj</w:t>
        </w:r>
      </w:hyperlink>
      <w:hyperlink w:history="1"/>
      <w:r>
        <w:rPr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28, ELI: </w:t>
      </w:r>
      <w:hyperlink r:id="rId3" w:history="1">
        <w:hyperlink r:id="rId4" w:history="1">
          <w:r>
            <w:rPr>
              <w:rStyle w:val="Hyperlink"/>
              <w:sz w:val="24"/>
              <w:lang w:val="fi-FI"/>
            </w:rPr>
            <w:t>http://data.europa.eu/eli/agree_interinstit/2020/1222/oj</w:t>
          </w:r>
        </w:hyperlink>
      </w:hyperlink>
      <w:r>
        <w:rPr>
          <w:sz w:val="24"/>
          <w:lang w:val="sk-SK"/>
        </w:rPr>
        <w:t>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231, 30.6.2021, s. 60, ELI: </w:t>
      </w:r>
      <w:hyperlink r:id="rId5" w:history="1">
        <w:r>
          <w:rPr>
            <w:rStyle w:val="Hyperlink"/>
            <w:sz w:val="24"/>
            <w:lang w:val="sk-SK"/>
          </w:rPr>
          <w:t>http://data.europa.eu/eli/reg/2021/1058/oj</w:t>
        </w:r>
      </w:hyperlink>
      <w:r>
        <w:rPr>
          <w:sz w:val="24"/>
          <w:lang w:val="sk-SK"/>
        </w:rPr>
        <w:t>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P9_TA(2024)0082.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184, 5.5.2022, s. 82.</w:t>
      </w:r>
    </w:p>
  </w:footnote>
  <w:footnote w:id="7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15, 12.1.2022, s. 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CHANOVA Monika">
    <w15:presenceInfo w15:providerId="None" w15:userId="SUCHANOVA Moni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SK"/>
    <w:docVar w:name="dvnumam" w:val="0"/>
    <w:docVar w:name="dvpe" w:val="763.077"/>
    <w:docVar w:name="dvrapporteur" w:val="Spravodajca: "/>
    <w:docVar w:name="dvtitre" w:val="Uznesenie Európskeho parlamentu z xx. oktobra 2024 o návrhu rozhodnutia Európskeho parlamentu a Rady o mobilizácii Fondu solidarity Európskej únie na účely poskytnutia pomoci Taliansku, Slovinsku, Rakúsku, Grécku a Francúzsku v súvislosti so šiestimi živelnými pohromami, ku ktorým došlo v roku 2023(COM(2024)0325 – C10-0088/2024 – 2024/0212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6C0B6-FF5A-4571-94DF-70335D83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8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C9498-9214-4A22-8047-B724C8699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2024-11-12T13:02:00Z</dcterms:created>
  <dcterms:modified xsi:type="dcterms:W3CDTF">2024-11-12T13:02:00Z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