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69B1" w14:paraId="13A58BC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211126" w14:textId="77777777" w:rsidR="00751A4A" w:rsidRPr="00A769B1" w:rsidRDefault="005E7DBD" w:rsidP="0010095E">
            <w:pPr>
              <w:pStyle w:val="EPName"/>
            </w:pPr>
            <w:r w:rsidRPr="00A769B1">
              <w:t>Evropski parlament</w:t>
            </w:r>
          </w:p>
          <w:p w14:paraId="0A9BB9C5" w14:textId="77777777" w:rsidR="00751A4A" w:rsidRPr="00A769B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69B1">
              <w:t>2024</w:t>
            </w:r>
            <w:r w:rsidR="00817416" w:rsidRPr="00A769B1">
              <w:t>-202</w:t>
            </w:r>
            <w:r w:rsidRPr="00A769B1">
              <w:t>9</w:t>
            </w:r>
          </w:p>
        </w:tc>
        <w:tc>
          <w:tcPr>
            <w:tcW w:w="2268" w:type="dxa"/>
            <w:shd w:val="clear" w:color="auto" w:fill="auto"/>
          </w:tcPr>
          <w:p w14:paraId="133281AD" w14:textId="77777777" w:rsidR="00751A4A" w:rsidRPr="00A769B1" w:rsidRDefault="00187494" w:rsidP="0010095E">
            <w:pPr>
              <w:pStyle w:val="EPLogo"/>
            </w:pPr>
            <w:r w:rsidRPr="00A769B1">
              <w:rPr>
                <w:noProof/>
                <w:lang w:val="en-GB"/>
              </w:rPr>
              <w:drawing>
                <wp:inline distT="0" distB="0" distL="0" distR="0" wp14:anchorId="737190F2" wp14:editId="66D276A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F071DD" w14:textId="77777777" w:rsidR="00D058B8" w:rsidRPr="00A769B1" w:rsidRDefault="00D058B8" w:rsidP="004C5D52">
      <w:pPr>
        <w:pStyle w:val="LineTop"/>
      </w:pPr>
    </w:p>
    <w:p w14:paraId="334D0EF1" w14:textId="77777777" w:rsidR="00680577" w:rsidRPr="00A769B1" w:rsidRDefault="005E7DBD" w:rsidP="00680577">
      <w:pPr>
        <w:pStyle w:val="EPBodyTA1"/>
      </w:pPr>
      <w:r w:rsidRPr="00A769B1">
        <w:t>SPREJETA BESEDILA</w:t>
      </w:r>
    </w:p>
    <w:p w14:paraId="2E42FD5B" w14:textId="77777777" w:rsidR="00D058B8" w:rsidRPr="00A769B1" w:rsidRDefault="00D058B8" w:rsidP="00D058B8">
      <w:pPr>
        <w:pStyle w:val="LineBottom"/>
      </w:pPr>
    </w:p>
    <w:p w14:paraId="5AFE62AD" w14:textId="33C09BEF" w:rsidR="005E7DBD" w:rsidRPr="00A769B1" w:rsidRDefault="005E7DBD" w:rsidP="00A769B1">
      <w:pPr>
        <w:pStyle w:val="ATHeading1"/>
      </w:pPr>
      <w:bookmarkStart w:id="0" w:name="TANumber"/>
      <w:r w:rsidRPr="00A769B1">
        <w:t>P10_TA(2024)00</w:t>
      </w:r>
      <w:r w:rsidR="00A769B1">
        <w:t>15</w:t>
      </w:r>
      <w:bookmarkEnd w:id="0"/>
    </w:p>
    <w:p w14:paraId="6C1C5FC9" w14:textId="3E55A0CC" w:rsidR="005E7DBD" w:rsidRPr="00A769B1" w:rsidRDefault="005E7DBD" w:rsidP="004C5F64">
      <w:pPr>
        <w:pStyle w:val="ATHeading2"/>
      </w:pPr>
      <w:bookmarkStart w:id="1" w:name="title"/>
      <w:r w:rsidRPr="00A769B1">
        <w:t>Uporaba Solidarnostnega sklada Evropske unije</w:t>
      </w:r>
      <w:r w:rsidR="004C5F64">
        <w:t>:</w:t>
      </w:r>
      <w:r w:rsidRPr="00A769B1">
        <w:t xml:space="preserve"> pomoč Italiji, Sloveniji, Avstriji, Grčiji in Franciji v zvezi z naravnimi nesrečami, ki so se zgodile leta 2023</w:t>
      </w:r>
      <w:bookmarkEnd w:id="1"/>
    </w:p>
    <w:p w14:paraId="1793932A" w14:textId="77777777" w:rsidR="005E7DBD" w:rsidRPr="00A769B1" w:rsidRDefault="005E7DBD" w:rsidP="005E7DBD">
      <w:pPr>
        <w:rPr>
          <w:i/>
          <w:vanish/>
        </w:rPr>
      </w:pPr>
      <w:r w:rsidRPr="00A769B1">
        <w:rPr>
          <w:i/>
        </w:rPr>
        <w:fldChar w:fldCharType="begin"/>
      </w:r>
      <w:r w:rsidRPr="00A769B1">
        <w:rPr>
          <w:i/>
        </w:rPr>
        <w:instrText xml:space="preserve"> TC"(</w:instrText>
      </w:r>
      <w:bookmarkStart w:id="2" w:name="DocNumber"/>
      <w:r w:rsidRPr="00A769B1">
        <w:rPr>
          <w:i/>
        </w:rPr>
        <w:instrText>A10-0002/2024</w:instrText>
      </w:r>
      <w:bookmarkEnd w:id="2"/>
      <w:r w:rsidRPr="00A769B1">
        <w:rPr>
          <w:i/>
        </w:rPr>
        <w:instrText xml:space="preserve"> - Poročevalec: Georgios Aftias)"\l3 \n&gt; \* MERGEFORMAT </w:instrText>
      </w:r>
      <w:r w:rsidRPr="00A769B1">
        <w:rPr>
          <w:i/>
        </w:rPr>
        <w:fldChar w:fldCharType="end"/>
      </w:r>
    </w:p>
    <w:p w14:paraId="13817087" w14:textId="77777777" w:rsidR="005E7DBD" w:rsidRPr="00A769B1" w:rsidRDefault="005E7DBD" w:rsidP="005E7DBD">
      <w:pPr>
        <w:rPr>
          <w:vanish/>
        </w:rPr>
      </w:pPr>
      <w:bookmarkStart w:id="3" w:name="Commission"/>
      <w:r w:rsidRPr="00A769B1">
        <w:rPr>
          <w:vanish/>
        </w:rPr>
        <w:t>Odbor za proračun</w:t>
      </w:r>
      <w:bookmarkEnd w:id="3"/>
    </w:p>
    <w:p w14:paraId="67C69C58" w14:textId="77777777" w:rsidR="005E7DBD" w:rsidRPr="00A769B1" w:rsidRDefault="005E7DBD" w:rsidP="005E7DBD">
      <w:pPr>
        <w:rPr>
          <w:vanish/>
        </w:rPr>
      </w:pPr>
      <w:bookmarkStart w:id="4" w:name="PE"/>
      <w:r w:rsidRPr="00A769B1">
        <w:rPr>
          <w:vanish/>
        </w:rPr>
        <w:t>PE763.077</w:t>
      </w:r>
      <w:bookmarkEnd w:id="4"/>
    </w:p>
    <w:p w14:paraId="4968C9BD" w14:textId="77777777" w:rsidR="005E7DBD" w:rsidRPr="00A769B1" w:rsidRDefault="005E7DBD" w:rsidP="00792C3D">
      <w:pPr>
        <w:pStyle w:val="ATHeading3"/>
      </w:pPr>
      <w:bookmarkStart w:id="5" w:name="Sujet"/>
      <w:r w:rsidRPr="00A769B1">
        <w:t xml:space="preserve">Resolucija Evropskega parlamenta z dne </w:t>
      </w:r>
      <w:r w:rsidR="00792C3D" w:rsidRPr="00A769B1">
        <w:t>8</w:t>
      </w:r>
      <w:r w:rsidRPr="00A769B1">
        <w:t>. oktobra 2024 o predlogu sklepa Evropskega parlamenta in Sveta o uporabi Solidarnostnega sklada Evropske unije za pomoč Italiji, Sloveniji, Avstriji, Grčiji in Franciji v zvezi s šestimi naravnimi nesrečami, ki so se zgodile leta 2023</w:t>
      </w:r>
      <w:bookmarkEnd w:id="5"/>
      <w:r w:rsidRPr="00A769B1">
        <w:t xml:space="preserve"> </w:t>
      </w:r>
      <w:bookmarkStart w:id="6" w:name="References"/>
      <w:r w:rsidRPr="00A769B1">
        <w:t>(COM(2024)0325 – C10-0088/2024 – 2024/0212(BUD))</w:t>
      </w:r>
      <w:bookmarkEnd w:id="6"/>
    </w:p>
    <w:p w14:paraId="54103578" w14:textId="77777777" w:rsidR="00192E2E" w:rsidRPr="00A769B1" w:rsidRDefault="00192E2E" w:rsidP="00192E2E">
      <w:pPr>
        <w:pStyle w:val="EPComma"/>
        <w:rPr>
          <w:noProof/>
        </w:rPr>
      </w:pPr>
      <w:bookmarkStart w:id="7" w:name="TextBodyBegin"/>
      <w:bookmarkEnd w:id="7"/>
      <w:r w:rsidRPr="00A769B1">
        <w:rPr>
          <w:i/>
        </w:rPr>
        <w:t>Evropski parlament</w:t>
      </w:r>
      <w:r w:rsidRPr="00A769B1">
        <w:t>,</w:t>
      </w:r>
    </w:p>
    <w:p w14:paraId="0CE02652" w14:textId="77777777" w:rsidR="00192E2E" w:rsidRPr="00A769B1" w:rsidRDefault="00192E2E" w:rsidP="00192E2E">
      <w:pPr>
        <w:pStyle w:val="NormalHanging12a"/>
        <w:rPr>
          <w:noProof/>
        </w:rPr>
      </w:pPr>
      <w:r w:rsidRPr="00A769B1">
        <w:t>–</w:t>
      </w:r>
      <w:r w:rsidRPr="00A769B1">
        <w:tab/>
        <w:t>ob upoštevanju predloga Komisije Evropskemu parlamentu in Svetu (COM(2024)0325 – C10</w:t>
      </w:r>
      <w:r w:rsidRPr="00A769B1">
        <w:noBreakHyphen/>
        <w:t>0088/2024),</w:t>
      </w:r>
    </w:p>
    <w:p w14:paraId="0E2AD695" w14:textId="77777777" w:rsidR="00192E2E" w:rsidRPr="00A769B1" w:rsidRDefault="00192E2E" w:rsidP="00192E2E">
      <w:pPr>
        <w:pStyle w:val="NormalHanging12a"/>
      </w:pPr>
      <w:r w:rsidRPr="00A769B1">
        <w:rPr>
          <w:b/>
          <w:i/>
        </w:rPr>
        <w:t>–</w:t>
      </w:r>
      <w:r w:rsidRPr="00A769B1">
        <w:rPr>
          <w:b/>
          <w:i/>
        </w:rPr>
        <w:tab/>
      </w:r>
      <w:r w:rsidRPr="00A769B1">
        <w:t>ob upoštevanju člena 107(2) Pogodbe o delovanju Evropske unije,</w:t>
      </w:r>
    </w:p>
    <w:p w14:paraId="1C76CDD9" w14:textId="77777777" w:rsidR="00192E2E" w:rsidRPr="00A769B1" w:rsidRDefault="00192E2E" w:rsidP="00192E2E">
      <w:pPr>
        <w:pStyle w:val="NormalHanging12a"/>
        <w:rPr>
          <w:noProof/>
        </w:rPr>
      </w:pPr>
      <w:r w:rsidRPr="00A769B1">
        <w:t>–</w:t>
      </w:r>
      <w:r w:rsidRPr="00A769B1">
        <w:tab/>
        <w:t>ob upoštevanju Uredbe Sveta (ES) št. 2012/2002 z dne 11. novembra 2002 o ustanovitvi Solidarnostnega sklada Evropske unije</w:t>
      </w:r>
      <w:r w:rsidRPr="00A769B1">
        <w:rPr>
          <w:rStyle w:val="FootnoteReference"/>
        </w:rPr>
        <w:footnoteReference w:id="1"/>
      </w:r>
      <w:r w:rsidRPr="00A769B1">
        <w:t>,</w:t>
      </w:r>
    </w:p>
    <w:p w14:paraId="14C3CEC2" w14:textId="556E5DEB" w:rsidR="00192E2E" w:rsidRPr="00A769B1" w:rsidRDefault="00192E2E" w:rsidP="00192E2E">
      <w:pPr>
        <w:pStyle w:val="NormalHanging12a"/>
        <w:rPr>
          <w:noProof/>
        </w:rPr>
      </w:pPr>
      <w:r w:rsidRPr="00A769B1">
        <w:t>–</w:t>
      </w:r>
      <w:r w:rsidRPr="00A769B1">
        <w:tab/>
        <w:t>ob upoštevanju Uredbe Sveta (EU, Euratom) 2020/2093 z dne 17. decembra 2020 o določitvi večletnega finančnega okvira za obdobje 2021–2027</w:t>
      </w:r>
      <w:r w:rsidRPr="00A769B1">
        <w:rPr>
          <w:rStyle w:val="FootnoteReference"/>
          <w:noProof/>
        </w:rPr>
        <w:footnoteReference w:id="2"/>
      </w:r>
      <w:r w:rsidRPr="00A769B1">
        <w:t xml:space="preserve"> in zlasti člena 9</w:t>
      </w:r>
      <w:r w:rsidR="00281F67" w:rsidRPr="00A769B1">
        <w:t xml:space="preserve"> Uredbe</w:t>
      </w:r>
      <w:r w:rsidRPr="00A769B1">
        <w:t>,</w:t>
      </w:r>
    </w:p>
    <w:p w14:paraId="36DFA28C" w14:textId="51108782" w:rsidR="00192E2E" w:rsidRPr="00A769B1" w:rsidRDefault="00192E2E" w:rsidP="00192E2E">
      <w:pPr>
        <w:pStyle w:val="NormalHanging12a"/>
        <w:rPr>
          <w:noProof/>
        </w:rPr>
      </w:pPr>
      <w:r w:rsidRPr="00A769B1">
        <w:t>–</w:t>
      </w:r>
      <w:r w:rsidRPr="00A769B1">
        <w:tab/>
        <w:t>ob upoštevanju Medinstitucionalnega sporazuma z dne 16. decembra 2020 med Evropskim parlamentom, Svetom in Komisijo o proračunski disciplini, sodelovanju v proračunskih zadevah in dobrem finančnem poslovodenju ter novih virih lastnih sredstev, vključno s časovnim načrtom za njihovo uvedbo</w:t>
      </w:r>
      <w:r w:rsidRPr="00A769B1">
        <w:rPr>
          <w:rStyle w:val="FootnoteReference"/>
          <w:noProof/>
        </w:rPr>
        <w:footnoteReference w:id="3"/>
      </w:r>
      <w:r w:rsidRPr="00A769B1">
        <w:t xml:space="preserve"> in zlasti točke 10</w:t>
      </w:r>
      <w:r w:rsidR="00281F67" w:rsidRPr="00A769B1">
        <w:t xml:space="preserve"> Medinstitucionalnega sporazuma</w:t>
      </w:r>
      <w:r w:rsidRPr="00A769B1">
        <w:t>,</w:t>
      </w:r>
    </w:p>
    <w:p w14:paraId="3C6BA5EF" w14:textId="77777777" w:rsidR="00192E2E" w:rsidRPr="00A769B1" w:rsidRDefault="00192E2E" w:rsidP="00192E2E">
      <w:pPr>
        <w:pStyle w:val="NormalHanging12a"/>
      </w:pPr>
      <w:r w:rsidRPr="00A769B1">
        <w:t>–</w:t>
      </w:r>
      <w:r w:rsidRPr="00A769B1">
        <w:tab/>
        <w:t>ob upoštevanju Uredbe (EU) 2021/1058 Evropskega parlamenta in Sveta z dne 24. junija 2021 o Evropskem skladu za regionalni razvoj in Kohezijskem skladu</w:t>
      </w:r>
      <w:r w:rsidRPr="00A769B1">
        <w:rPr>
          <w:rStyle w:val="FootnoteReference"/>
        </w:rPr>
        <w:footnoteReference w:id="4"/>
      </w:r>
      <w:r w:rsidRPr="00A769B1">
        <w:t xml:space="preserve">, </w:t>
      </w:r>
    </w:p>
    <w:p w14:paraId="08C989D6" w14:textId="77777777" w:rsidR="00192E2E" w:rsidRPr="00A769B1" w:rsidRDefault="00192E2E" w:rsidP="00192E2E">
      <w:pPr>
        <w:pStyle w:val="NormalWeb"/>
        <w:shd w:val="clear" w:color="auto" w:fill="FFFFFF"/>
        <w:ind w:left="567" w:hanging="567"/>
      </w:pPr>
      <w:r w:rsidRPr="00A769B1">
        <w:lastRenderedPageBreak/>
        <w:t>–</w:t>
      </w:r>
      <w:r w:rsidRPr="00A769B1">
        <w:tab/>
        <w:t>ob upoštevanju svoje resolucije z dne 27. februarja 2024 o osnutku uredbe Sveta o spremembi Uredbe (EU, Euratom) 2020/2093 o določitvi večletnega finančnega okvira za obdobje 2021–2027</w:t>
      </w:r>
      <w:r w:rsidRPr="00A769B1">
        <w:rPr>
          <w:rStyle w:val="FootnoteReference"/>
        </w:rPr>
        <w:footnoteReference w:id="5"/>
      </w:r>
      <w:r w:rsidRPr="00A769B1">
        <w:t>,</w:t>
      </w:r>
    </w:p>
    <w:p w14:paraId="36B97936" w14:textId="77777777" w:rsidR="00192E2E" w:rsidRPr="00A769B1" w:rsidRDefault="00192E2E" w:rsidP="00192E2E">
      <w:pPr>
        <w:pStyle w:val="NormalWeb"/>
        <w:shd w:val="clear" w:color="auto" w:fill="FFFFFF"/>
        <w:ind w:left="567" w:hanging="567"/>
      </w:pPr>
      <w:r w:rsidRPr="00A769B1">
        <w:t>–</w:t>
      </w:r>
      <w:r w:rsidRPr="00A769B1">
        <w:rPr>
          <w:b/>
          <w:i/>
        </w:rPr>
        <w:tab/>
      </w:r>
      <w:r w:rsidRPr="00A769B1">
        <w:t>ob upoštevanju svoje resolucije z dne 20. oktobra 2021 o učinkovitosti držav članic pri uporabi sredstev iz Solidarnostnega sklada EU v primeru naravnih nesreč</w:t>
      </w:r>
      <w:r w:rsidRPr="00A769B1">
        <w:rPr>
          <w:rStyle w:val="FootnoteReference"/>
        </w:rPr>
        <w:footnoteReference w:id="6"/>
      </w:r>
      <w:r w:rsidRPr="00A769B1">
        <w:t>,</w:t>
      </w:r>
    </w:p>
    <w:p w14:paraId="046BD560" w14:textId="77777777" w:rsidR="00192E2E" w:rsidRPr="00A769B1" w:rsidRDefault="00192E2E" w:rsidP="00192E2E">
      <w:pPr>
        <w:pStyle w:val="NormalWeb"/>
        <w:shd w:val="clear" w:color="auto" w:fill="FFFFFF"/>
        <w:ind w:left="567" w:hanging="567"/>
      </w:pPr>
      <w:r w:rsidRPr="00A769B1">
        <w:t>–</w:t>
      </w:r>
      <w:r w:rsidRPr="00A769B1">
        <w:rPr>
          <w:b/>
          <w:i/>
        </w:rPr>
        <w:tab/>
      </w:r>
      <w:r w:rsidRPr="00A769B1">
        <w:t>ob upoštevanju svoje resolucije z dne 18. maja 2021 o pregledu Solidarnostnega sklada Evropske unije</w:t>
      </w:r>
      <w:r w:rsidRPr="00A769B1">
        <w:rPr>
          <w:rStyle w:val="FootnoteReference"/>
        </w:rPr>
        <w:footnoteReference w:id="7"/>
      </w:r>
      <w:r w:rsidRPr="00A769B1">
        <w:t>,</w:t>
      </w:r>
    </w:p>
    <w:p w14:paraId="37E585AA" w14:textId="77777777" w:rsidR="00192E2E" w:rsidRPr="00A769B1" w:rsidRDefault="00192E2E" w:rsidP="00192E2E">
      <w:pPr>
        <w:pStyle w:val="NormalHanging12a"/>
      </w:pPr>
      <w:r w:rsidRPr="00A769B1">
        <w:rPr>
          <w:b/>
          <w:i/>
        </w:rPr>
        <w:t>–</w:t>
      </w:r>
      <w:r w:rsidRPr="00A769B1">
        <w:rPr>
          <w:b/>
          <w:i/>
        </w:rPr>
        <w:tab/>
      </w:r>
      <w:r w:rsidRPr="00A769B1">
        <w:t>ob upoštevanju poročila Evropske agencije za okolje št. 1/2024 – evropska ocena podnebnih tveganj (EUCRA),</w:t>
      </w:r>
    </w:p>
    <w:p w14:paraId="7B4590AA" w14:textId="77777777" w:rsidR="00192E2E" w:rsidRPr="00A769B1" w:rsidRDefault="00192E2E" w:rsidP="00192E2E">
      <w:pPr>
        <w:pStyle w:val="NormalHanging12a"/>
      </w:pPr>
      <w:r w:rsidRPr="00A769B1">
        <w:t>–</w:t>
      </w:r>
      <w:r w:rsidRPr="00A769B1">
        <w:tab/>
        <w:t>ob upoštevanju poročila Odbora za proračun (A10</w:t>
      </w:r>
      <w:r w:rsidRPr="00A769B1">
        <w:noBreakHyphen/>
        <w:t>0002/2024),</w:t>
      </w:r>
    </w:p>
    <w:p w14:paraId="36CBB5A8" w14:textId="77777777" w:rsidR="00192E2E" w:rsidRPr="00A769B1" w:rsidRDefault="00192E2E" w:rsidP="00192E2E">
      <w:pPr>
        <w:pStyle w:val="NormalWeb"/>
        <w:shd w:val="clear" w:color="auto" w:fill="FFFFFF"/>
        <w:ind w:left="567" w:hanging="567"/>
      </w:pPr>
      <w:r w:rsidRPr="00A769B1">
        <w:t>A.</w:t>
      </w:r>
      <w:r w:rsidRPr="00A769B1">
        <w:tab/>
        <w:t>ker je med 1. in 17. majem 2023 v italijanski deželi Emilija-Romanja zelo močno deževje povzročilo poplave, med katerimi je po ocenah italijanskih oblasti nastala skupna neposredna škoda v znesku 8,5 milijarde EUR;</w:t>
      </w:r>
    </w:p>
    <w:p w14:paraId="4004B716" w14:textId="77777777" w:rsidR="00192E2E" w:rsidRPr="00A769B1" w:rsidRDefault="00192E2E" w:rsidP="00192E2E">
      <w:pPr>
        <w:pStyle w:val="NormalHanging12a"/>
      </w:pPr>
      <w:r w:rsidRPr="00A769B1">
        <w:t>B.</w:t>
      </w:r>
      <w:r w:rsidRPr="00A769B1">
        <w:tab/>
        <w:t>ker je Slovenijo med 3. in 6. avgustom 2023 prizadelo močno deževje, posledične poplave po vsej državi pa so v dotlej najhujši naravni nesreči po navedbah Komisije povzročile skupno neposredno škodo v znesku 7,3 milijarde EUR;</w:t>
      </w:r>
    </w:p>
    <w:p w14:paraId="0FF0A4A8" w14:textId="77777777" w:rsidR="00192E2E" w:rsidRPr="00A769B1" w:rsidRDefault="00192E2E" w:rsidP="00192E2E">
      <w:pPr>
        <w:pStyle w:val="NormalWeb"/>
        <w:shd w:val="clear" w:color="auto" w:fill="FFFFFF"/>
        <w:ind w:left="567" w:hanging="567"/>
      </w:pPr>
      <w:r w:rsidRPr="00A769B1">
        <w:t>C.</w:t>
      </w:r>
      <w:r w:rsidRPr="00A769B1">
        <w:tab/>
        <w:t>ker je Avstrijo med 3. in 6. avgustom 2023 prizadelo močno deževje, poplave v južnih avstrijskih regijah pa so po ocenah avstrijskih organov povzročile skupno neposredno škodo v znesku 208 milijonov EUR;</w:t>
      </w:r>
    </w:p>
    <w:p w14:paraId="1DE97675" w14:textId="77777777" w:rsidR="00192E2E" w:rsidRPr="00A769B1" w:rsidRDefault="00192E2E" w:rsidP="00192E2E">
      <w:pPr>
        <w:pStyle w:val="NormalWeb"/>
        <w:shd w:val="clear" w:color="auto" w:fill="FFFFFF"/>
        <w:ind w:left="567" w:hanging="567"/>
      </w:pPr>
      <w:r w:rsidRPr="00A769B1">
        <w:t>D.</w:t>
      </w:r>
      <w:r w:rsidRPr="00A769B1">
        <w:tab/>
        <w:t>ker je Grčijo med 4. in 11. septembrom 2023 prizadelo sredozemsko neurje „Daniel“, ki je povzročilo močno deževje in poplave na več lokacijah v osrednji Grčiji, zlasti v regiji Tesalija, pri čemer je po ocenah grških organov nastala skupna neposredna škoda v znesku 2,3 milijarde EUR;</w:t>
      </w:r>
    </w:p>
    <w:p w14:paraId="20722D8A" w14:textId="77777777" w:rsidR="00192E2E" w:rsidRPr="00A769B1" w:rsidRDefault="00192E2E" w:rsidP="00192E2E">
      <w:pPr>
        <w:pStyle w:val="NormalWeb"/>
        <w:shd w:val="clear" w:color="auto" w:fill="FFFFFF"/>
        <w:ind w:left="567" w:hanging="567"/>
      </w:pPr>
      <w:r w:rsidRPr="00A769B1">
        <w:t>E.</w:t>
      </w:r>
      <w:r w:rsidRPr="00A769B1">
        <w:tab/>
        <w:t>ker je med 25. oktobrom in 10. novembrom 2023 v italijanski regiji Toskana zelo močno deževje povzročilo nenadne poplave, med katerimi je po ocenah italijanskih organov nastala skupna neposredna škoda v znesku 2,7 milijarde EUR;</w:t>
      </w:r>
    </w:p>
    <w:p w14:paraId="5749C21A" w14:textId="77777777" w:rsidR="00192E2E" w:rsidRPr="00A769B1" w:rsidRDefault="00192E2E" w:rsidP="00192E2E">
      <w:pPr>
        <w:pStyle w:val="NormalWeb"/>
        <w:shd w:val="clear" w:color="auto" w:fill="FFFFFF"/>
        <w:ind w:left="567" w:hanging="567"/>
      </w:pPr>
      <w:r w:rsidRPr="00A769B1">
        <w:t>F.</w:t>
      </w:r>
      <w:r w:rsidRPr="00A769B1">
        <w:tab/>
        <w:t>ker je med 2. in 9. novembrom 2023 v nekdanji regiji Nord-Pas-de-Calais v francoski regiji Hauts-de-France močno deževje povzročilo poplave, med katerimi je po ocenah francoskih organov nastala skupna neposredna škoda v znesku 1,9 milijarde EUR;</w:t>
      </w:r>
    </w:p>
    <w:p w14:paraId="43A83769" w14:textId="43F4B178" w:rsidR="00192E2E" w:rsidRPr="00A769B1" w:rsidRDefault="00192E2E" w:rsidP="00192E2E">
      <w:pPr>
        <w:spacing w:after="240"/>
        <w:ind w:left="567" w:hanging="567"/>
        <w:rPr>
          <w:szCs w:val="24"/>
          <w:shd w:val="clear" w:color="auto" w:fill="FFFFFF"/>
        </w:rPr>
      </w:pPr>
      <w:r w:rsidRPr="00A769B1">
        <w:t>1.</w:t>
      </w:r>
      <w:r w:rsidRPr="00A769B1">
        <w:tab/>
        <w:t>izraža globoko</w:t>
      </w:r>
      <w:r w:rsidRPr="00A769B1">
        <w:rPr>
          <w:shd w:val="clear" w:color="auto" w:fill="FFFFFF"/>
        </w:rPr>
        <w:t xml:space="preserve"> solidarnost z vsemi žrtvami, njihovimi družinami in vsemi posamezniki, ki so jih prizadele uničujoče poplave v Italiji, Sloveniji, Avstriji, Grčiji in Franciji, </w:t>
      </w:r>
      <w:r w:rsidR="005815B4" w:rsidRPr="00A769B1">
        <w:rPr>
          <w:shd w:val="clear" w:color="auto" w:fill="FFFFFF"/>
        </w:rPr>
        <w:t>ter</w:t>
      </w:r>
      <w:r w:rsidRPr="00A769B1">
        <w:rPr>
          <w:shd w:val="clear" w:color="auto" w:fill="FFFFFF"/>
        </w:rPr>
        <w:t xml:space="preserve"> z nacionalnimi, regionalnimi in lokalnimi organi, ki sodelujejo pri organizaciji pomoči;</w:t>
      </w:r>
    </w:p>
    <w:p w14:paraId="27629A6D" w14:textId="77777777" w:rsidR="00192E2E" w:rsidRPr="00A769B1" w:rsidRDefault="00192E2E" w:rsidP="00192E2E">
      <w:pPr>
        <w:spacing w:after="240"/>
        <w:ind w:left="567" w:hanging="567"/>
      </w:pPr>
      <w:r w:rsidRPr="00A769B1">
        <w:t>2.</w:t>
      </w:r>
      <w:r w:rsidRPr="00A769B1">
        <w:tab/>
        <w:t>pozdravlja ta sklep kot oprijemljivo in prepoznavno obliko solidarnosti Unije z njenimi državljani in regijami na prizadetih območjih v Italiji, Sloveniji, Avstriji, Grčiji in Franciji;</w:t>
      </w:r>
    </w:p>
    <w:p w14:paraId="0CCB14ED" w14:textId="77777777" w:rsidR="00192E2E" w:rsidRPr="00A769B1" w:rsidRDefault="00192E2E" w:rsidP="00192E2E">
      <w:pPr>
        <w:spacing w:after="240"/>
        <w:ind w:left="567" w:hanging="567"/>
      </w:pPr>
      <w:r w:rsidRPr="00A769B1">
        <w:lastRenderedPageBreak/>
        <w:t>3.</w:t>
      </w:r>
      <w:r w:rsidRPr="00A769B1">
        <w:tab/>
        <w:t>ponovno poudarja, da je pomembno obveščati javnost o oprijemljivih koristih, ki jih prinaša Solidarnostni sklad Evropske unije, da bi še povečali ozaveščenost državljanov v zvezi z orodji in programi Unije;</w:t>
      </w:r>
    </w:p>
    <w:p w14:paraId="65EE8CF4" w14:textId="77777777" w:rsidR="00192E2E" w:rsidRPr="00A769B1" w:rsidRDefault="00192E2E" w:rsidP="00192E2E">
      <w:pPr>
        <w:spacing w:after="240"/>
        <w:ind w:left="567" w:hanging="567"/>
      </w:pPr>
      <w:r w:rsidRPr="00A769B1">
        <w:t>4.</w:t>
      </w:r>
      <w:r w:rsidRPr="00A769B1">
        <w:tab/>
        <w:t>opozarja na vse večje število hudih in uničujočih naravnih nesreč v Evropi ter poziva države članice in Komisijo, naj vlagajo v ukrepe za blažitev podnebnih sprememb in prilagajanje nanje, da bi preprečili človeške in gospodarske izgube; meni, da bi bilo treba proračun Solidarnostnega sklada Evropske unije (EUSF) ali enakovreden proračun razširiti glede na prihodnji predlog Komisije o novem večletnem finančnem okviru in nadaljnja medinstitucionalna pogajanja; poziva Komisijo, naj poveča proračun rezerve za evropsko solidarnost in zagotovi, da bodo skupni znesek financiranja in načini dodeljevanja omogočali optimalno učinkovitost EUSF;</w:t>
      </w:r>
    </w:p>
    <w:p w14:paraId="0BA26A13" w14:textId="1D4913E6" w:rsidR="00192E2E" w:rsidRPr="00A769B1" w:rsidRDefault="00192E2E" w:rsidP="00192E2E">
      <w:pPr>
        <w:pStyle w:val="NormalHanging12a"/>
      </w:pPr>
      <w:r w:rsidRPr="00A769B1">
        <w:t>5.</w:t>
      </w:r>
      <w:r w:rsidRPr="00A769B1">
        <w:tab/>
        <w:t xml:space="preserve">poudarja, da so otoki in obalne regije zaradi podnebnih sprememb še posebej izpostavljeni naravnim nesrečam; opozarja, da pojavi, kot so potresi, poplave, vulkanski izbruhi in suše, ki vplivajo tudi na jezera in reke, vse bolj ogrožajo številne evropske regije, zlasti v Sredozemlju; se sprašuje, ali je EUSF ustrezno usklajen z nujnimi potrebami, povezanimi s prilagajanjem podnebnim spremembam na teh posebej občutljivih območjih; zato meni, da bi morali otoki in obalne regije prejeti ustrezna sredstva v okviru </w:t>
      </w:r>
      <w:r w:rsidR="005815B4" w:rsidRPr="00A769B1">
        <w:t>EUSF</w:t>
      </w:r>
      <w:r w:rsidR="005815B4" w:rsidRPr="00A769B1" w:rsidDel="005815B4">
        <w:t xml:space="preserve"> </w:t>
      </w:r>
      <w:r w:rsidRPr="00A769B1">
        <w:t>za odpravo ranljivih točk, posebej značilnih zanje;</w:t>
      </w:r>
    </w:p>
    <w:p w14:paraId="70CC10EC" w14:textId="05E2F720" w:rsidR="00192E2E" w:rsidRPr="00A769B1" w:rsidRDefault="00192E2E" w:rsidP="00192E2E">
      <w:pPr>
        <w:spacing w:after="240"/>
        <w:ind w:left="567" w:hanging="567"/>
      </w:pPr>
      <w:r w:rsidRPr="00A769B1">
        <w:t>6.</w:t>
      </w:r>
      <w:r w:rsidRPr="00A769B1">
        <w:tab/>
        <w:t xml:space="preserve">poudarja, da je EUSF le kurativni instrument in da bi se morala Unija s podporo evropskih in nacionalnih politik za preprečevanje naravnih nesreč še naprej ukvarjati s prilagajanjem podnebnim spremembam in blažitvijo slednjih; poudarja, da je Evropska agencija za okolje v poročilu št. 1/2024 </w:t>
      </w:r>
      <w:r w:rsidR="00CB59B8" w:rsidRPr="00A769B1">
        <w:t xml:space="preserve">o </w:t>
      </w:r>
      <w:r w:rsidRPr="00A769B1">
        <w:t>evropsk</w:t>
      </w:r>
      <w:r w:rsidR="00CB59B8" w:rsidRPr="00A769B1">
        <w:t>i</w:t>
      </w:r>
      <w:r w:rsidRPr="00A769B1">
        <w:t xml:space="preserve"> ocen</w:t>
      </w:r>
      <w:r w:rsidR="00CB59B8" w:rsidRPr="00A769B1">
        <w:t>i</w:t>
      </w:r>
      <w:r w:rsidRPr="00A769B1">
        <w:t xml:space="preserve"> podnebnega tveganja opozorila, da </w:t>
      </w:r>
      <w:r w:rsidR="00CB59B8" w:rsidRPr="00A769B1">
        <w:t xml:space="preserve">Unija </w:t>
      </w:r>
      <w:r w:rsidRPr="00A769B1">
        <w:t>ni pripravljen</w:t>
      </w:r>
      <w:r w:rsidR="00CB59B8" w:rsidRPr="00A769B1">
        <w:t>a</w:t>
      </w:r>
      <w:r w:rsidRPr="00A769B1">
        <w:t xml:space="preserve"> na učinke podnebnih sprememb, in opozarja, da so potrebni ukrepi, s katerimi bi preprečili, da bi opredeljena podnebna tveganja dosegla kritično raven; poziva države članice in Komisijo, naj prispevajo k doseganju ciljev, dogovorjenih na vrhu o podnebnih spremembah v Parizu; opozarja, da so potrebne učinkovite sinergije z drugimi politikami in programi Unije, in poudarja, da bi morale države članice čim bolj izkoristiti možnosti financiranja, zlasti iz Evropskega sklada za regionalni razvoj, Evropskega socialnega sklada +, Evropskega sklada za pomorstvo, ribištvo in akvakulturo, Kohezijskega sklada in programov za razvoj podeželja; poudarja tudi, da so potrebni preventivni ukrepi, ne le za to, da bi ublažili škodo v prihodnje, marveč tudi preprečili, da bi se nevarne razmere po naravnih katastrofah, kot so požari v naravi, zemeljski plazovi ali sušenje jezer in rek, še poslabšale; opozarja na pomen ustrezne prožnosti med različnimi programi; poudarja, da se pomoč iz EUSF ne bi smela izplačevati na račun financiranja</w:t>
      </w:r>
      <w:r w:rsidR="00872B33" w:rsidRPr="00A769B1">
        <w:t xml:space="preserve"> Unije</w:t>
      </w:r>
      <w:r w:rsidRPr="00A769B1">
        <w:t xml:space="preserve">, ki ga države članice prejmejo v okviru drugih programov ali politik Unije; </w:t>
      </w:r>
      <w:r w:rsidR="00872B33" w:rsidRPr="00A769B1">
        <w:t>opozarja</w:t>
      </w:r>
      <w:r w:rsidRPr="00A769B1">
        <w:t>, da lahko države članice dodelijo državno pomoč v skladu z veljavnimi pravili Unije, zlasti za kmetijska podjetja, ki so utrpela škodo zaradi naravnih nesreč;</w:t>
      </w:r>
    </w:p>
    <w:p w14:paraId="5FB22C83" w14:textId="0147EF75" w:rsidR="00192E2E" w:rsidRPr="00A769B1" w:rsidRDefault="00192E2E" w:rsidP="00192E2E">
      <w:pPr>
        <w:spacing w:after="240"/>
        <w:ind w:left="567" w:hanging="567"/>
      </w:pPr>
      <w:r w:rsidRPr="00A769B1">
        <w:t xml:space="preserve">7. </w:t>
      </w:r>
      <w:r w:rsidRPr="00A769B1">
        <w:tab/>
        <w:t xml:space="preserve">opozarja, da je pomembno hitro in zanesljivo oceniti škodo, pri tem pa ustrezno upoštevati gospodarske posledice, in poziva k večjim operativnim prizadevanjem, da bi skrajšali povprečni čas za sprostitev predplačil, hkrati pa zaščitili proračun Unije; poziva Komisijo, naj še bolj poenostavi postopek in skrajša čas, potreben za obravnavo vlog za uporabo EUSF, skrajša odzivni čas, in poskrbi za to, da bodo sredstva hitro prispela v prizadete regije, saj naravne nesreče povzročijo veliko škodo, ki ovira vsakdanje življenje in lokalno gospodarstvo; poudarja, da je potrebna </w:t>
      </w:r>
      <w:r w:rsidR="000D4167" w:rsidRPr="00A769B1">
        <w:t xml:space="preserve">ustrezna </w:t>
      </w:r>
      <w:r w:rsidRPr="00A769B1">
        <w:t>prožnost, kadar v državah prejemnicah prihaja do upravičenih zamud in izzivov pri zaprosilih za dodelitev sredstev in njihovi uporabi;</w:t>
      </w:r>
      <w:r w:rsidRPr="00A769B1">
        <w:rPr>
          <w:b/>
          <w:i/>
        </w:rPr>
        <w:t xml:space="preserve"> </w:t>
      </w:r>
      <w:r w:rsidRPr="00A769B1">
        <w:t xml:space="preserve">poziva države članice, naj upoštevajo, da naravne nesreče še posebej prizadenejo ranljivo prebivalstvo, saj socialno-ekonomski dejavniki še dodatno ovirajo njihovo sposobnost okrevanja; </w:t>
      </w:r>
    </w:p>
    <w:p w14:paraId="51628451" w14:textId="50007033" w:rsidR="00192E2E" w:rsidRPr="00A769B1" w:rsidRDefault="00192E2E" w:rsidP="00192E2E">
      <w:pPr>
        <w:spacing w:after="240"/>
        <w:ind w:left="567" w:hanging="567"/>
      </w:pPr>
      <w:r w:rsidRPr="00A769B1">
        <w:t>8.</w:t>
      </w:r>
      <w:r w:rsidRPr="00A769B1">
        <w:tab/>
        <w:t xml:space="preserve">poudarja, da je treba nujno sprostiti </w:t>
      </w:r>
      <w:r w:rsidR="008B0B3A" w:rsidRPr="00A769B1">
        <w:t xml:space="preserve">takojšnjo </w:t>
      </w:r>
      <w:r w:rsidRPr="00A769B1">
        <w:t xml:space="preserve">finančno pomoč iz </w:t>
      </w:r>
      <w:r w:rsidR="00281F67" w:rsidRPr="00A769B1">
        <w:t>EUSF</w:t>
      </w:r>
      <w:r w:rsidRPr="00A769B1">
        <w:t xml:space="preserve">, da bo lahko pravočasno prispela v prizadete regije; </w:t>
      </w:r>
    </w:p>
    <w:p w14:paraId="4B7AF263" w14:textId="77777777" w:rsidR="00192E2E" w:rsidRPr="00A769B1" w:rsidRDefault="00192E2E" w:rsidP="00192E2E">
      <w:pPr>
        <w:pStyle w:val="NormalHanging12a"/>
        <w:rPr>
          <w:noProof/>
        </w:rPr>
      </w:pPr>
      <w:r w:rsidRPr="00A769B1">
        <w:t>9.</w:t>
      </w:r>
      <w:r w:rsidRPr="00A769B1">
        <w:tab/>
        <w:t>odobri sklep, priložen tej resoluciji;</w:t>
      </w:r>
    </w:p>
    <w:p w14:paraId="46B1AD6F" w14:textId="77777777" w:rsidR="00192E2E" w:rsidRPr="00A769B1" w:rsidRDefault="00192E2E" w:rsidP="00192E2E">
      <w:pPr>
        <w:pStyle w:val="NormalHanging12a"/>
        <w:rPr>
          <w:noProof/>
        </w:rPr>
      </w:pPr>
      <w:r w:rsidRPr="00A769B1">
        <w:t>10.</w:t>
      </w:r>
      <w:r w:rsidRPr="00A769B1">
        <w:tab/>
        <w:t xml:space="preserve">naroči svoji predsednici, naj podpiše ta sklep skupaj s predsedujočim Svetu ter poskrbi za njegovo objavo v </w:t>
      </w:r>
      <w:r w:rsidRPr="00A769B1">
        <w:rPr>
          <w:i/>
        </w:rPr>
        <w:t>Uradnem listu Evropske unije</w:t>
      </w:r>
      <w:r w:rsidRPr="00A769B1">
        <w:t>;</w:t>
      </w:r>
    </w:p>
    <w:p w14:paraId="295763A0" w14:textId="77777777" w:rsidR="00192E2E" w:rsidRPr="00A769B1" w:rsidRDefault="00192E2E" w:rsidP="00192E2E">
      <w:pPr>
        <w:pStyle w:val="NormalHanging12a"/>
        <w:rPr>
          <w:noProof/>
        </w:rPr>
      </w:pPr>
      <w:r w:rsidRPr="00A769B1">
        <w:t>11.</w:t>
      </w:r>
      <w:r w:rsidRPr="00A769B1">
        <w:tab/>
        <w:t>naroči svoji predsednici, naj resolucijo skupaj s prilogo posreduje Svetu in Komisiji.</w:t>
      </w:r>
    </w:p>
    <w:p w14:paraId="1895C4F9" w14:textId="77777777" w:rsidR="00192E2E" w:rsidRPr="00A769B1" w:rsidRDefault="00192E2E" w:rsidP="00192E2E">
      <w:pPr>
        <w:rPr>
          <w:noProof/>
        </w:rPr>
      </w:pPr>
    </w:p>
    <w:p w14:paraId="44B241C0" w14:textId="77777777" w:rsidR="00192E2E" w:rsidRPr="00A769B1" w:rsidRDefault="00192E2E" w:rsidP="00192E2E">
      <w:pPr>
        <w:pStyle w:val="PageHeading"/>
        <w:rPr>
          <w:noProof/>
        </w:rPr>
        <w:sectPr w:rsidR="00192E2E" w:rsidRPr="00A769B1" w:rsidSect="00B74D6E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5912C8F" w14:textId="3BDD2513" w:rsidR="00792C3D" w:rsidRPr="00A769B1" w:rsidRDefault="00192E2E" w:rsidP="00DA7BF8">
      <w:pPr>
        <w:pStyle w:val="PageHeading"/>
      </w:pPr>
      <w:bookmarkStart w:id="8" w:name="_Toc178759114"/>
      <w:r w:rsidRPr="00A769B1">
        <w:t>PRILOGA</w:t>
      </w:r>
    </w:p>
    <w:p w14:paraId="2D671A34" w14:textId="77777777" w:rsidR="00192E2E" w:rsidRPr="00A769B1" w:rsidRDefault="00192E2E" w:rsidP="00792C3D">
      <w:pPr>
        <w:pStyle w:val="PageHeading"/>
        <w:rPr>
          <w:noProof/>
        </w:rPr>
      </w:pPr>
      <w:r w:rsidRPr="00A769B1">
        <w:t>SKLEP EVROPSKEGA PARLAMENTA IN SVETA</w:t>
      </w:r>
      <w:bookmarkEnd w:id="8"/>
    </w:p>
    <w:p w14:paraId="676515D4" w14:textId="43913DC9" w:rsidR="00192E2E" w:rsidRDefault="00192E2E" w:rsidP="00192E2E">
      <w:pPr>
        <w:pStyle w:val="Titreobjet"/>
      </w:pPr>
      <w:r w:rsidRPr="00A769B1">
        <w:t>o upora</w:t>
      </w:r>
      <w:bookmarkStart w:id="9" w:name="_GoBack"/>
      <w:bookmarkEnd w:id="9"/>
      <w:r w:rsidRPr="00A769B1">
        <w:t>bi Solidarnostnega sklada Evropske unije za pomoč Italiji, Sloveniji, Avstriji, Grčiji in Franciji v zvezi s šestimi naravnimi nesrečami, ki so se zgodile leta 2023</w:t>
      </w:r>
    </w:p>
    <w:p w14:paraId="0B8B20AF" w14:textId="6DFD72E5" w:rsidR="00792C3D" w:rsidRPr="00A769B1" w:rsidRDefault="00E42438" w:rsidP="00DA7BF8">
      <w:pPr>
        <w:spacing w:before="120" w:after="120"/>
        <w:jc w:val="both"/>
        <w:rPr>
          <w:i/>
          <w:iCs/>
          <w:lang w:eastAsia="en-US"/>
        </w:rPr>
      </w:pPr>
      <w:r w:rsidRPr="00DA7BF8">
        <w:rPr>
          <w:i/>
        </w:rPr>
        <w:t xml:space="preserve">(Besedilo te priloge tukaj ni navedeno, saj je enako končnemu aktu, Sklepu (EU) </w:t>
      </w:r>
      <w:r w:rsidR="00DA7BF8" w:rsidRPr="00DA7BF8">
        <w:rPr>
          <w:i/>
        </w:rPr>
        <w:t>2024/2772</w:t>
      </w:r>
      <w:r w:rsidRPr="00DA7BF8">
        <w:rPr>
          <w:i/>
        </w:rPr>
        <w:t>.)</w:t>
      </w:r>
      <w:bookmarkStart w:id="10" w:name="TextBodyEnd"/>
      <w:bookmarkEnd w:id="10"/>
    </w:p>
    <w:sectPr w:rsidR="00792C3D" w:rsidRPr="00A769B1" w:rsidSect="00B74D6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4BCF4" w14:textId="77777777" w:rsidR="005E7DBD" w:rsidRPr="00B74D6E" w:rsidRDefault="005E7DBD">
      <w:r w:rsidRPr="00B74D6E">
        <w:separator/>
      </w:r>
    </w:p>
  </w:endnote>
  <w:endnote w:type="continuationSeparator" w:id="0">
    <w:p w14:paraId="6A501BF8" w14:textId="77777777" w:rsidR="005E7DBD" w:rsidRPr="00B74D6E" w:rsidRDefault="005E7DBD">
      <w:r w:rsidRPr="00B74D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32592" w14:textId="77777777" w:rsidR="00192E2E" w:rsidRPr="00B74D6E" w:rsidRDefault="00192E2E" w:rsidP="00E4638A">
    <w:pPr>
      <w:pStyle w:val="EPFooter"/>
    </w:pPr>
    <w:r w:rsidRPr="00B74D6E">
      <w:t>PE</w:t>
    </w:r>
    <w:r w:rsidRPr="00B74D6E">
      <w:rPr>
        <w:rStyle w:val="HideTWBExt"/>
      </w:rPr>
      <w:t>&lt;NoPE&gt;</w:t>
    </w:r>
    <w:r w:rsidRPr="00B74D6E">
      <w:t>763.077</w:t>
    </w:r>
    <w:r w:rsidRPr="00B74D6E">
      <w:rPr>
        <w:rStyle w:val="HideTWBExt"/>
      </w:rPr>
      <w:t>&lt;/NoPE&gt;&lt;Version&gt;</w:t>
    </w:r>
    <w:r w:rsidRPr="00B74D6E">
      <w:t>v02-00</w:t>
    </w:r>
    <w:r w:rsidRPr="00B74D6E">
      <w:rPr>
        <w:rStyle w:val="HideTWBExt"/>
      </w:rPr>
      <w:t>&lt;/Version&gt;</w:t>
    </w:r>
    <w:r w:rsidRPr="00B74D6E">
      <w:tab/>
    </w:r>
    <w:r w:rsidRPr="00B74D6E">
      <w:fldChar w:fldCharType="begin"/>
    </w:r>
    <w:r w:rsidRPr="00B74D6E">
      <w:instrText xml:space="preserve"> PAGE  \* MERGEFORMAT </w:instrText>
    </w:r>
    <w:r w:rsidRPr="00B74D6E">
      <w:fldChar w:fldCharType="separate"/>
    </w:r>
    <w:r w:rsidRPr="00B74D6E">
      <w:rPr>
        <w:noProof/>
      </w:rPr>
      <w:t>4</w:t>
    </w:r>
    <w:r w:rsidRPr="00B74D6E">
      <w:fldChar w:fldCharType="end"/>
    </w:r>
    <w:r w:rsidRPr="00B74D6E">
      <w:t>/</w:t>
    </w:r>
    <w:r w:rsidR="00DA7BF8">
      <w:fldChar w:fldCharType="begin"/>
    </w:r>
    <w:r w:rsidR="00DA7BF8">
      <w:instrText xml:space="preserve"> NUMPAGES  \* MERGEFORMAT </w:instrText>
    </w:r>
    <w:r w:rsidR="00DA7BF8">
      <w:fldChar w:fldCharType="separate"/>
    </w:r>
    <w:r w:rsidRPr="00B74D6E">
      <w:rPr>
        <w:noProof/>
      </w:rPr>
      <w:t>4</w:t>
    </w:r>
    <w:r w:rsidR="00DA7BF8">
      <w:rPr>
        <w:noProof/>
      </w:rPr>
      <w:fldChar w:fldCharType="end"/>
    </w:r>
    <w:r w:rsidRPr="00B74D6E">
      <w:tab/>
    </w:r>
    <w:r w:rsidRPr="00B74D6E">
      <w:rPr>
        <w:rStyle w:val="HideTWBExt"/>
      </w:rPr>
      <w:t>&lt;PathFdR&gt;</w:t>
    </w:r>
    <w:r w:rsidRPr="00B74D6E">
      <w:t>RR\1307237SL.docx</w:t>
    </w:r>
    <w:r w:rsidRPr="00B74D6E">
      <w:rPr>
        <w:rStyle w:val="HideTWBExt"/>
      </w:rPr>
      <w:t>&lt;/PathFdR&gt;</w:t>
    </w:r>
  </w:p>
  <w:p w14:paraId="49C51E9E" w14:textId="77777777" w:rsidR="00192E2E" w:rsidRPr="00B74D6E" w:rsidRDefault="00192E2E" w:rsidP="00E4638A">
    <w:pPr>
      <w:pStyle w:val="EPFooter2"/>
    </w:pPr>
    <w:r w:rsidRPr="00B74D6E">
      <w:t>SL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8E6E3" w14:textId="77777777" w:rsidR="00192E2E" w:rsidRPr="00B74D6E" w:rsidRDefault="00192E2E" w:rsidP="00E4638A">
    <w:pPr>
      <w:pStyle w:val="EPFooter"/>
    </w:pPr>
    <w:r w:rsidRPr="00B74D6E">
      <w:rPr>
        <w:rStyle w:val="HideTWBExt"/>
      </w:rPr>
      <w:t>&lt;PathFdR&gt;</w:t>
    </w:r>
    <w:r w:rsidRPr="00B74D6E">
      <w:t>RR\1307237SL.docx</w:t>
    </w:r>
    <w:r w:rsidRPr="00B74D6E">
      <w:rPr>
        <w:rStyle w:val="HideTWBExt"/>
      </w:rPr>
      <w:t>&lt;/PathFdR&gt;</w:t>
    </w:r>
    <w:r w:rsidRPr="00B74D6E">
      <w:tab/>
    </w:r>
    <w:r w:rsidRPr="00B74D6E">
      <w:tab/>
      <w:t>PE</w:t>
    </w:r>
    <w:r w:rsidRPr="00B74D6E">
      <w:rPr>
        <w:rStyle w:val="HideTWBExt"/>
      </w:rPr>
      <w:t>&lt;NoPE&gt;</w:t>
    </w:r>
    <w:r w:rsidRPr="00B74D6E">
      <w:t>763.077</w:t>
    </w:r>
    <w:r w:rsidRPr="00B74D6E">
      <w:rPr>
        <w:rStyle w:val="HideTWBExt"/>
      </w:rPr>
      <w:t>&lt;/NoPE&gt;&lt;Version&gt;</w:t>
    </w:r>
    <w:r w:rsidRPr="00B74D6E">
      <w:t>v02-00</w:t>
    </w:r>
    <w:r w:rsidRPr="00B74D6E">
      <w:rPr>
        <w:rStyle w:val="HideTWBExt"/>
      </w:rPr>
      <w:t>&lt;/Version&gt;</w:t>
    </w:r>
  </w:p>
  <w:p w14:paraId="3FFE6B1B" w14:textId="77777777" w:rsidR="00192E2E" w:rsidRPr="00B74D6E" w:rsidRDefault="00192E2E" w:rsidP="00E4638A">
    <w:pPr>
      <w:pStyle w:val="EPFooter2"/>
    </w:pPr>
    <w:r w:rsidRPr="00B74D6E">
      <w:t>SL</w:t>
    </w:r>
    <w:r w:rsidRPr="00B74D6E">
      <w:tab/>
    </w:r>
    <w:r w:rsidRPr="00B74D6E">
      <w:rPr>
        <w:b w:val="0"/>
        <w:i/>
        <w:color w:val="C0C0C0"/>
        <w:sz w:val="22"/>
      </w:rPr>
      <w:t>Združena v raznolikosti</w:t>
    </w:r>
    <w:r w:rsidRPr="00B74D6E">
      <w:tab/>
      <w:t>SL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4F964" w14:textId="77777777" w:rsidR="00064002" w:rsidRPr="00B74D6E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E54B6" w14:textId="77777777" w:rsidR="00064002" w:rsidRPr="00B74D6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044A5" w14:textId="77777777" w:rsidR="00064002" w:rsidRPr="00B74D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46276" w14:textId="77777777" w:rsidR="005E7DBD" w:rsidRPr="00B74D6E" w:rsidRDefault="005E7DBD">
      <w:r w:rsidRPr="00B74D6E">
        <w:separator/>
      </w:r>
    </w:p>
  </w:footnote>
  <w:footnote w:type="continuationSeparator" w:id="0">
    <w:p w14:paraId="7DEA4545" w14:textId="77777777" w:rsidR="005E7DBD" w:rsidRPr="00B74D6E" w:rsidRDefault="005E7DBD">
      <w:r w:rsidRPr="00B74D6E">
        <w:continuationSeparator/>
      </w:r>
    </w:p>
  </w:footnote>
  <w:footnote w:id="1">
    <w:p w14:paraId="7360F06B" w14:textId="77777777" w:rsidR="00192E2E" w:rsidRPr="00B74D6E" w:rsidRDefault="00192E2E" w:rsidP="00B74D6E">
      <w:pPr>
        <w:pStyle w:val="FootnoteText"/>
        <w:ind w:left="567" w:hanging="567"/>
        <w:rPr>
          <w:sz w:val="24"/>
          <w:lang w:val="sl-SI"/>
        </w:rPr>
      </w:pPr>
      <w:r w:rsidRPr="00B74D6E">
        <w:rPr>
          <w:rStyle w:val="FootnoteReference"/>
          <w:sz w:val="24"/>
          <w:lang w:val="sl-SI"/>
        </w:rPr>
        <w:footnoteRef/>
      </w:r>
      <w:r w:rsidR="00B74D6E" w:rsidRPr="00B74D6E">
        <w:rPr>
          <w:sz w:val="24"/>
          <w:lang w:val="sl-SI"/>
        </w:rPr>
        <w:t xml:space="preserve"> </w:t>
      </w:r>
      <w:r w:rsidR="00B74D6E" w:rsidRPr="00B74D6E">
        <w:rPr>
          <w:sz w:val="24"/>
          <w:lang w:val="sl-SI"/>
        </w:rPr>
        <w:tab/>
      </w:r>
      <w:r w:rsidRPr="00B74D6E">
        <w:rPr>
          <w:sz w:val="24"/>
          <w:lang w:val="sl-SI"/>
        </w:rPr>
        <w:t xml:space="preserve">UL L 311, 14.11.2002, str. 3, ELI: </w:t>
      </w:r>
      <w:hyperlink r:id="rId1" w:history="1">
        <w:r w:rsidRPr="00B74D6E">
          <w:rPr>
            <w:rStyle w:val="Hyperlink"/>
            <w:sz w:val="24"/>
            <w:lang w:val="sl-SI"/>
          </w:rPr>
          <w:t>http://data.europa.eu/eli/reg/2002/2012/oj</w:t>
        </w:r>
      </w:hyperlink>
      <w:r w:rsidRPr="00B74D6E">
        <w:rPr>
          <w:sz w:val="24"/>
          <w:lang w:val="sl-SI"/>
        </w:rPr>
        <w:t>.</w:t>
      </w:r>
    </w:p>
  </w:footnote>
  <w:footnote w:id="2">
    <w:p w14:paraId="68F431E1" w14:textId="77777777" w:rsidR="00192E2E" w:rsidRPr="00B74D6E" w:rsidRDefault="00192E2E" w:rsidP="00B74D6E">
      <w:pPr>
        <w:pStyle w:val="FootnoteText"/>
        <w:ind w:left="567" w:hanging="567"/>
        <w:rPr>
          <w:sz w:val="24"/>
          <w:lang w:val="sl-SI"/>
        </w:rPr>
      </w:pPr>
      <w:r w:rsidRPr="00B74D6E">
        <w:rPr>
          <w:rStyle w:val="FootnoteReference"/>
          <w:sz w:val="24"/>
          <w:lang w:val="sl-SI"/>
        </w:rPr>
        <w:footnoteRef/>
      </w:r>
      <w:r w:rsidR="00B74D6E" w:rsidRPr="00B74D6E">
        <w:rPr>
          <w:sz w:val="24"/>
          <w:lang w:val="sl-SI"/>
        </w:rPr>
        <w:t xml:space="preserve"> </w:t>
      </w:r>
      <w:r w:rsidR="00B74D6E" w:rsidRPr="00B74D6E">
        <w:rPr>
          <w:sz w:val="24"/>
          <w:lang w:val="sl-SI"/>
        </w:rPr>
        <w:tab/>
      </w:r>
      <w:r w:rsidRPr="00B74D6E">
        <w:rPr>
          <w:sz w:val="24"/>
          <w:lang w:val="sl-SI"/>
        </w:rPr>
        <w:t xml:space="preserve">UL L 433 I, 22.12.2020, str. 11, ELI: </w:t>
      </w:r>
      <w:hyperlink r:id="rId2" w:history="1">
        <w:r w:rsidRPr="00B74D6E">
          <w:rPr>
            <w:rStyle w:val="Hyperlink"/>
            <w:sz w:val="24"/>
            <w:lang w:val="sl-SI"/>
          </w:rPr>
          <w:t>http://data.europa.eu/eli/reg/2020/2093/oj</w:t>
        </w:r>
      </w:hyperlink>
      <w:r w:rsidRPr="00B74D6E">
        <w:rPr>
          <w:sz w:val="24"/>
          <w:lang w:val="sl-SI"/>
        </w:rPr>
        <w:t>.</w:t>
      </w:r>
    </w:p>
  </w:footnote>
  <w:footnote w:id="3">
    <w:p w14:paraId="7B2A6C10" w14:textId="77777777" w:rsidR="00192E2E" w:rsidRPr="00B74D6E" w:rsidRDefault="00192E2E" w:rsidP="00B74D6E">
      <w:pPr>
        <w:pStyle w:val="FootnoteText"/>
        <w:ind w:left="567" w:hanging="567"/>
        <w:rPr>
          <w:sz w:val="24"/>
          <w:lang w:val="sl-SI"/>
        </w:rPr>
      </w:pPr>
      <w:r w:rsidRPr="00B74D6E">
        <w:rPr>
          <w:rStyle w:val="FootnoteReference"/>
          <w:sz w:val="24"/>
          <w:lang w:val="sl-SI"/>
        </w:rPr>
        <w:footnoteRef/>
      </w:r>
      <w:r w:rsidR="00B74D6E" w:rsidRPr="00B74D6E">
        <w:rPr>
          <w:sz w:val="24"/>
          <w:lang w:val="sl-SI"/>
        </w:rPr>
        <w:t xml:space="preserve"> </w:t>
      </w:r>
      <w:r w:rsidR="00B74D6E" w:rsidRPr="00B74D6E">
        <w:rPr>
          <w:sz w:val="24"/>
          <w:lang w:val="sl-SI"/>
        </w:rPr>
        <w:tab/>
      </w:r>
      <w:r w:rsidRPr="00B74D6E">
        <w:rPr>
          <w:sz w:val="24"/>
          <w:lang w:val="sl-SI"/>
        </w:rPr>
        <w:t xml:space="preserve">UL L 433 I, 22.12.2020, str. 28, ELI: </w:t>
      </w:r>
      <w:hyperlink r:id="rId3" w:history="1">
        <w:r w:rsidRPr="00B74D6E">
          <w:rPr>
            <w:rStyle w:val="Hyperlink"/>
            <w:sz w:val="24"/>
            <w:lang w:val="sl-SI"/>
          </w:rPr>
          <w:t>http://data.europa.eu/eli/agree_interinstit/2020/1222/oj</w:t>
        </w:r>
      </w:hyperlink>
      <w:r w:rsidRPr="00B74D6E">
        <w:rPr>
          <w:sz w:val="24"/>
          <w:lang w:val="sl-SI"/>
        </w:rPr>
        <w:t>.</w:t>
      </w:r>
    </w:p>
  </w:footnote>
  <w:footnote w:id="4">
    <w:p w14:paraId="25808E29" w14:textId="77777777" w:rsidR="00192E2E" w:rsidRPr="00B74D6E" w:rsidRDefault="00192E2E" w:rsidP="00B74D6E">
      <w:pPr>
        <w:pStyle w:val="FootnoteText"/>
        <w:ind w:left="567" w:hanging="567"/>
        <w:rPr>
          <w:sz w:val="24"/>
          <w:lang w:val="sl-SI"/>
        </w:rPr>
      </w:pPr>
      <w:r w:rsidRPr="00B74D6E">
        <w:rPr>
          <w:rStyle w:val="FootnoteReference"/>
          <w:sz w:val="24"/>
          <w:lang w:val="sl-SI"/>
        </w:rPr>
        <w:footnoteRef/>
      </w:r>
      <w:r w:rsidR="00B74D6E" w:rsidRPr="00B74D6E">
        <w:rPr>
          <w:sz w:val="24"/>
          <w:lang w:val="sl-SI"/>
        </w:rPr>
        <w:t xml:space="preserve"> </w:t>
      </w:r>
      <w:r w:rsidR="00B74D6E" w:rsidRPr="00B74D6E">
        <w:rPr>
          <w:sz w:val="24"/>
          <w:lang w:val="sl-SI"/>
        </w:rPr>
        <w:tab/>
      </w:r>
      <w:r w:rsidRPr="00B74D6E">
        <w:rPr>
          <w:sz w:val="24"/>
          <w:lang w:val="sl-SI"/>
        </w:rPr>
        <w:t xml:space="preserve">UL L 231, 30.6.2021, str. 60, ELI: </w:t>
      </w:r>
      <w:hyperlink r:id="rId4" w:history="1">
        <w:r w:rsidRPr="00B74D6E">
          <w:rPr>
            <w:rStyle w:val="Hyperlink"/>
            <w:sz w:val="24"/>
            <w:lang w:val="sl-SI"/>
          </w:rPr>
          <w:t>http://data.europa.eu/eli/reg/2021/1058/oj</w:t>
        </w:r>
      </w:hyperlink>
      <w:r w:rsidRPr="00B74D6E">
        <w:rPr>
          <w:sz w:val="24"/>
          <w:lang w:val="sl-SI"/>
        </w:rPr>
        <w:t>.</w:t>
      </w:r>
    </w:p>
  </w:footnote>
  <w:footnote w:id="5">
    <w:p w14:paraId="4FDA878C" w14:textId="77777777" w:rsidR="00192E2E" w:rsidRPr="00B74D6E" w:rsidRDefault="00192E2E" w:rsidP="00B74D6E">
      <w:pPr>
        <w:pStyle w:val="FootnoteText"/>
        <w:ind w:left="567" w:hanging="567"/>
        <w:rPr>
          <w:sz w:val="24"/>
          <w:lang w:val="sl-SI"/>
        </w:rPr>
      </w:pPr>
      <w:r w:rsidRPr="00B74D6E">
        <w:rPr>
          <w:rStyle w:val="FootnoteReference"/>
          <w:sz w:val="24"/>
          <w:lang w:val="sl-SI"/>
        </w:rPr>
        <w:footnoteRef/>
      </w:r>
      <w:r w:rsidR="00B74D6E" w:rsidRPr="00B74D6E">
        <w:rPr>
          <w:sz w:val="24"/>
          <w:lang w:val="sl-SI"/>
        </w:rPr>
        <w:t xml:space="preserve"> </w:t>
      </w:r>
      <w:r w:rsidR="00B74D6E" w:rsidRPr="00B74D6E">
        <w:rPr>
          <w:sz w:val="24"/>
          <w:lang w:val="sl-SI"/>
        </w:rPr>
        <w:tab/>
      </w:r>
      <w:r w:rsidRPr="00B74D6E">
        <w:rPr>
          <w:sz w:val="24"/>
          <w:lang w:val="sl-SI"/>
        </w:rPr>
        <w:t>Sprejeta besedila, P9_TA(2024)0082.</w:t>
      </w:r>
    </w:p>
  </w:footnote>
  <w:footnote w:id="6">
    <w:p w14:paraId="0D8ED8BC" w14:textId="7302A1B0" w:rsidR="00192E2E" w:rsidRPr="00B74D6E" w:rsidRDefault="00192E2E" w:rsidP="00B74D6E">
      <w:pPr>
        <w:pStyle w:val="FootnoteText"/>
        <w:ind w:left="567" w:hanging="567"/>
        <w:rPr>
          <w:sz w:val="24"/>
          <w:lang w:val="sl-SI"/>
        </w:rPr>
      </w:pPr>
      <w:r w:rsidRPr="00B74D6E">
        <w:rPr>
          <w:rStyle w:val="FootnoteReference"/>
          <w:sz w:val="24"/>
          <w:lang w:val="sl-SI"/>
        </w:rPr>
        <w:footnoteRef/>
      </w:r>
      <w:r w:rsidR="00B74D6E" w:rsidRPr="00B74D6E">
        <w:rPr>
          <w:sz w:val="24"/>
          <w:lang w:val="sl-SI"/>
        </w:rPr>
        <w:t xml:space="preserve"> </w:t>
      </w:r>
      <w:r w:rsidR="00B74D6E" w:rsidRPr="00B74D6E">
        <w:rPr>
          <w:sz w:val="24"/>
          <w:lang w:val="sl-SI"/>
        </w:rPr>
        <w:tab/>
      </w:r>
      <w:r w:rsidR="00EC3C0C">
        <w:rPr>
          <w:sz w:val="24"/>
          <w:lang w:val="sl-SI"/>
        </w:rPr>
        <w:t>UL C 184, 5.5.</w:t>
      </w:r>
      <w:r w:rsidRPr="00B74D6E">
        <w:rPr>
          <w:sz w:val="24"/>
          <w:lang w:val="sl-SI"/>
        </w:rPr>
        <w:t>2022, str. 82.</w:t>
      </w:r>
    </w:p>
  </w:footnote>
  <w:footnote w:id="7">
    <w:p w14:paraId="3C1D53BA" w14:textId="77777777" w:rsidR="00192E2E" w:rsidRPr="00B74D6E" w:rsidRDefault="00192E2E" w:rsidP="00B74D6E">
      <w:pPr>
        <w:pStyle w:val="FootnoteText"/>
        <w:ind w:left="567" w:hanging="567"/>
        <w:rPr>
          <w:sz w:val="24"/>
          <w:lang w:val="sl-SI"/>
        </w:rPr>
      </w:pPr>
      <w:r w:rsidRPr="00B74D6E">
        <w:rPr>
          <w:rStyle w:val="FootnoteReference"/>
          <w:sz w:val="24"/>
          <w:lang w:val="sl-SI"/>
        </w:rPr>
        <w:footnoteRef/>
      </w:r>
      <w:r w:rsidR="00B74D6E" w:rsidRPr="00B74D6E">
        <w:rPr>
          <w:sz w:val="24"/>
          <w:lang w:val="sl-SI"/>
        </w:rPr>
        <w:t xml:space="preserve"> </w:t>
      </w:r>
      <w:r w:rsidR="00B74D6E" w:rsidRPr="00B74D6E">
        <w:rPr>
          <w:sz w:val="24"/>
          <w:lang w:val="sl-SI"/>
        </w:rPr>
        <w:tab/>
      </w:r>
      <w:r w:rsidRPr="00B74D6E">
        <w:rPr>
          <w:sz w:val="24"/>
          <w:lang w:val="sl-SI"/>
        </w:rPr>
        <w:t>UL C 15, 12.1.2022, str.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88DDD" w14:textId="77777777" w:rsidR="00064002" w:rsidRPr="00B74D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0A679" w14:textId="77777777" w:rsidR="00064002" w:rsidRPr="00B74D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630E2" w14:textId="77777777" w:rsidR="00064002" w:rsidRPr="00B74D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4"/>
    <w:docVar w:name="dvlangue" w:val="SL"/>
    <w:docVar w:name="dvnumam" w:val="0"/>
    <w:docVar w:name="dvpe" w:val="763.077"/>
    <w:docVar w:name="dvrapporteur" w:val="Poročevalec: "/>
    <w:docVar w:name="dvtitre" w:val="Resolucija Evropskega parlamenta z dne xx. oktobra 2024 o predlogu sklepa Evropskega parlamenta in Sveta o uporabi Solidarnostnega sklada Evropske unije za pomoč Italiji, Sloveniji, Avstriji, Grčiji in Franciji v zvezi s šestimi naravnimi nesrečami, ki so se zgodile leta 2023(COM(2024)0325 – C10-0088/2024 – 2024/0212(BUD))"/>
  </w:docVars>
  <w:rsids>
    <w:rsidRoot w:val="005E7DBD"/>
    <w:rsid w:val="00002272"/>
    <w:rsid w:val="0005282C"/>
    <w:rsid w:val="00064002"/>
    <w:rsid w:val="000677B9"/>
    <w:rsid w:val="000831BA"/>
    <w:rsid w:val="000A42CC"/>
    <w:rsid w:val="000D4167"/>
    <w:rsid w:val="000E7DD9"/>
    <w:rsid w:val="0010095E"/>
    <w:rsid w:val="00125B37"/>
    <w:rsid w:val="00187494"/>
    <w:rsid w:val="00192E2E"/>
    <w:rsid w:val="001F32AE"/>
    <w:rsid w:val="002767FF"/>
    <w:rsid w:val="002814D7"/>
    <w:rsid w:val="00281F6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5F64"/>
    <w:rsid w:val="0050519A"/>
    <w:rsid w:val="005072A1"/>
    <w:rsid w:val="00514517"/>
    <w:rsid w:val="00545827"/>
    <w:rsid w:val="00560270"/>
    <w:rsid w:val="005815B4"/>
    <w:rsid w:val="005C2568"/>
    <w:rsid w:val="005E7DBD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C3D"/>
    <w:rsid w:val="007D1690"/>
    <w:rsid w:val="007E22AD"/>
    <w:rsid w:val="00817416"/>
    <w:rsid w:val="00842779"/>
    <w:rsid w:val="00865F67"/>
    <w:rsid w:val="00872B33"/>
    <w:rsid w:val="00881A7B"/>
    <w:rsid w:val="008840E5"/>
    <w:rsid w:val="00887B3E"/>
    <w:rsid w:val="008B0B3A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69B1"/>
    <w:rsid w:val="00A778C7"/>
    <w:rsid w:val="00AB441E"/>
    <w:rsid w:val="00AB6293"/>
    <w:rsid w:val="00AE0928"/>
    <w:rsid w:val="00AF3B82"/>
    <w:rsid w:val="00B12E95"/>
    <w:rsid w:val="00B22876"/>
    <w:rsid w:val="00B558F0"/>
    <w:rsid w:val="00B74D6E"/>
    <w:rsid w:val="00B90CBD"/>
    <w:rsid w:val="00BD48FE"/>
    <w:rsid w:val="00BD7BD8"/>
    <w:rsid w:val="00BE6ADC"/>
    <w:rsid w:val="00BF62D1"/>
    <w:rsid w:val="00C05BFE"/>
    <w:rsid w:val="00C23CD4"/>
    <w:rsid w:val="00C61C0C"/>
    <w:rsid w:val="00C941CB"/>
    <w:rsid w:val="00CB59B8"/>
    <w:rsid w:val="00CC2357"/>
    <w:rsid w:val="00CE7D34"/>
    <w:rsid w:val="00CF071A"/>
    <w:rsid w:val="00D058B8"/>
    <w:rsid w:val="00D56C11"/>
    <w:rsid w:val="00D834A0"/>
    <w:rsid w:val="00D872DF"/>
    <w:rsid w:val="00D91E21"/>
    <w:rsid w:val="00DA7BF8"/>
    <w:rsid w:val="00DA7FCD"/>
    <w:rsid w:val="00E365E1"/>
    <w:rsid w:val="00E42438"/>
    <w:rsid w:val="00E820A4"/>
    <w:rsid w:val="00EB006A"/>
    <w:rsid w:val="00EB4772"/>
    <w:rsid w:val="00EC3C0C"/>
    <w:rsid w:val="00EC6223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8745DA"/>
  <w15:chartTrackingRefBased/>
  <w15:docId w15:val="{2D22DF7B-2BCD-40B9-B49E-C5D2745B8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92E2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192E2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192E2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92E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92E2E"/>
    <w:rPr>
      <w:sz w:val="24"/>
      <w:lang w:val="sl-SI"/>
    </w:rPr>
  </w:style>
  <w:style w:type="paragraph" w:customStyle="1" w:styleId="EPFooter">
    <w:name w:val="EPFooter"/>
    <w:basedOn w:val="Normal"/>
    <w:rsid w:val="00192E2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92E2E"/>
    <w:pPr>
      <w:spacing w:before="480" w:after="240"/>
    </w:pPr>
  </w:style>
  <w:style w:type="character" w:styleId="Hyperlink">
    <w:name w:val="Hyperlink"/>
    <w:basedOn w:val="DefaultParagraphFont"/>
    <w:rsid w:val="00192E2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92E2E"/>
    <w:pPr>
      <w:widowControl/>
      <w:spacing w:before="100" w:beforeAutospacing="1" w:after="100" w:afterAutospacing="1"/>
    </w:pPr>
    <w:rPr>
      <w:szCs w:val="24"/>
    </w:rPr>
  </w:style>
  <w:style w:type="paragraph" w:customStyle="1" w:styleId="Institutionquisigne">
    <w:name w:val="Institution qui signe"/>
    <w:basedOn w:val="Normal"/>
    <w:next w:val="Normal"/>
    <w:rsid w:val="00192E2E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192E2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92E2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92E2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92E2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92E2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192E2E"/>
    <w:rPr>
      <w:sz w:val="24"/>
      <w:lang w:val="sl-SI"/>
    </w:rPr>
  </w:style>
  <w:style w:type="paragraph" w:customStyle="1" w:styleId="Titreobjet">
    <w:name w:val="Titre objet"/>
    <w:basedOn w:val="Normal"/>
    <w:next w:val="Normal"/>
    <w:rsid w:val="00192E2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Footer">
    <w:name w:val="footer"/>
    <w:basedOn w:val="Normal"/>
    <w:link w:val="FooterChar"/>
    <w:rsid w:val="00792C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92C3D"/>
    <w:rPr>
      <w:sz w:val="24"/>
      <w:lang w:val="sl-SI"/>
    </w:rPr>
  </w:style>
  <w:style w:type="paragraph" w:styleId="BalloonText">
    <w:name w:val="Balloon Text"/>
    <w:basedOn w:val="Normal"/>
    <w:link w:val="BalloonTextChar"/>
    <w:rsid w:val="00792C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92C3D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2814D7"/>
    <w:rPr>
      <w:sz w:val="16"/>
      <w:szCs w:val="16"/>
    </w:rPr>
  </w:style>
  <w:style w:type="paragraph" w:styleId="CommentText">
    <w:name w:val="annotation text"/>
    <w:basedOn w:val="Normal"/>
    <w:link w:val="CommentTextChar"/>
    <w:rsid w:val="002814D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814D7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2814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814D7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4" Type="http://schemas.openxmlformats.org/officeDocument/2006/relationships/hyperlink" Target="http://data.europa.eu/eli/reg/2021/1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A6D22-3533-4E86-A996-E0502E2FF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1283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2024-11-12T09:18:00Z</dcterms:created>
  <dcterms:modified xsi:type="dcterms:W3CDTF">2024-11-12T09:18:00Z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P10_TA(2024)0015_</vt:lpwstr>
  </property>
  <property fmtid="{D5CDD505-2E9C-101B-9397-08002B2CF9AE}" pid="4" name="&lt;Type&gt;">
    <vt:lpwstr>RR</vt:lpwstr>
  </property>
</Properties>
</file>