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62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6212" w:rsidRDefault="007F181A" w:rsidP="0010095E">
            <w:pPr>
              <w:pStyle w:val="EPName"/>
            </w:pPr>
            <w:r w:rsidRPr="00316212">
              <w:t>Европейски</w:t>
            </w:r>
            <w:r w:rsidR="00B028AE" w:rsidRPr="00316212">
              <w:t xml:space="preserve"> парламент</w:t>
            </w:r>
          </w:p>
          <w:p w:rsidR="00751A4A" w:rsidRPr="003162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6212">
              <w:t>2024</w:t>
            </w:r>
            <w:r w:rsidR="007F181A">
              <w:t> – </w:t>
            </w:r>
            <w:r w:rsidR="00817416" w:rsidRPr="00316212">
              <w:t>202</w:t>
            </w:r>
            <w:r w:rsidRPr="0031621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16212" w:rsidRDefault="00187494" w:rsidP="0010095E">
            <w:pPr>
              <w:pStyle w:val="EPLogo"/>
            </w:pPr>
            <w:r w:rsidRPr="003162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6212" w:rsidRDefault="00D058B8" w:rsidP="004C5D52">
      <w:pPr>
        <w:pStyle w:val="LineTop"/>
      </w:pPr>
    </w:p>
    <w:p w:rsidR="00680577" w:rsidRPr="00316212" w:rsidRDefault="00B028AE" w:rsidP="00680577">
      <w:pPr>
        <w:pStyle w:val="EPBodyTA1"/>
      </w:pPr>
      <w:r w:rsidRPr="00316212">
        <w:t>ПРИЕТИ ТЕКСТОВЕ</w:t>
      </w:r>
    </w:p>
    <w:p w:rsidR="00D058B8" w:rsidRPr="00316212" w:rsidRDefault="00D058B8" w:rsidP="00D058B8">
      <w:pPr>
        <w:pStyle w:val="LineBottom"/>
      </w:pPr>
    </w:p>
    <w:p w:rsidR="00B028AE" w:rsidRPr="00316212" w:rsidRDefault="00B028AE" w:rsidP="00B028AE">
      <w:pPr>
        <w:pStyle w:val="ATHeading1"/>
      </w:pPr>
      <w:bookmarkStart w:id="0" w:name="TANumber"/>
      <w:r w:rsidRPr="00316212">
        <w:t>P10_TA(2024)00</w:t>
      </w:r>
      <w:r w:rsidR="00FB6607">
        <w:rPr>
          <w:lang w:val="en-GB"/>
        </w:rPr>
        <w:t>18</w:t>
      </w:r>
      <w:bookmarkEnd w:id="0"/>
    </w:p>
    <w:p w:rsidR="00B028AE" w:rsidRPr="00316212" w:rsidRDefault="00B028AE" w:rsidP="00B028AE">
      <w:pPr>
        <w:pStyle w:val="ATHeading2"/>
      </w:pPr>
      <w:bookmarkStart w:id="1" w:name="title"/>
      <w:r w:rsidRPr="00316212">
        <w:t xml:space="preserve">Случаят на Бюлент </w:t>
      </w:r>
      <w:proofErr w:type="spellStart"/>
      <w:r w:rsidRPr="00316212">
        <w:t>Мумай</w:t>
      </w:r>
      <w:proofErr w:type="spellEnd"/>
      <w:r w:rsidRPr="00316212">
        <w:t xml:space="preserve"> в Турция</w:t>
      </w:r>
      <w:bookmarkEnd w:id="1"/>
    </w:p>
    <w:p w:rsidR="00B028AE" w:rsidRPr="00316212" w:rsidRDefault="00B028AE" w:rsidP="00B028AE">
      <w:pPr>
        <w:rPr>
          <w:i/>
          <w:vanish/>
        </w:rPr>
      </w:pPr>
      <w:r w:rsidRPr="00316212">
        <w:rPr>
          <w:i/>
        </w:rPr>
        <w:fldChar w:fldCharType="begin"/>
      </w:r>
      <w:r w:rsidRPr="00316212">
        <w:rPr>
          <w:i/>
        </w:rPr>
        <w:instrText xml:space="preserve"> TC"(</w:instrText>
      </w:r>
      <w:bookmarkStart w:id="2" w:name="DocNumber"/>
      <w:r w:rsidRPr="00316212">
        <w:rPr>
          <w:i/>
        </w:rPr>
        <w:instrText>B10-0095, 0096, 0097, 0098, 0099 and 0100/2024</w:instrText>
      </w:r>
      <w:bookmarkEnd w:id="2"/>
      <w:r w:rsidRPr="00316212">
        <w:rPr>
          <w:i/>
        </w:rPr>
        <w:instrText xml:space="preserve">)"\l3 \n&gt; \* MERGEFORMAT </w:instrText>
      </w:r>
      <w:r w:rsidRPr="00316212">
        <w:rPr>
          <w:i/>
        </w:rPr>
        <w:fldChar w:fldCharType="end"/>
      </w:r>
    </w:p>
    <w:p w:rsidR="00B028AE" w:rsidRPr="00316212" w:rsidRDefault="00B028AE" w:rsidP="00B028AE">
      <w:pPr>
        <w:rPr>
          <w:vanish/>
        </w:rPr>
      </w:pPr>
      <w:bookmarkStart w:id="3" w:name="PE"/>
      <w:r w:rsidRPr="00316212">
        <w:rPr>
          <w:vanish/>
        </w:rPr>
        <w:t>PE764.113</w:t>
      </w:r>
      <w:bookmarkEnd w:id="3"/>
    </w:p>
    <w:p w:rsidR="00B028AE" w:rsidRPr="00316212" w:rsidRDefault="00B028AE" w:rsidP="007F181A">
      <w:pPr>
        <w:pStyle w:val="ATHeading3"/>
      </w:pPr>
      <w:bookmarkStart w:id="4" w:name="Sujet"/>
      <w:r w:rsidRPr="00316212">
        <w:t xml:space="preserve">Резолюция на Европейския парламент от </w:t>
      </w:r>
      <w:r w:rsidR="007F181A">
        <w:t>10 октомври</w:t>
      </w:r>
      <w:r w:rsidR="007F181A" w:rsidRPr="00316212">
        <w:t xml:space="preserve"> </w:t>
      </w:r>
      <w:r w:rsidRPr="00316212">
        <w:t xml:space="preserve">2024 г. относно случая с Бюлент </w:t>
      </w:r>
      <w:proofErr w:type="spellStart"/>
      <w:r w:rsidRPr="00316212">
        <w:t>Мумай</w:t>
      </w:r>
      <w:proofErr w:type="spellEnd"/>
      <w:r w:rsidRPr="00316212">
        <w:t xml:space="preserve"> в Турция</w:t>
      </w:r>
      <w:bookmarkEnd w:id="4"/>
      <w:r w:rsidRPr="00316212">
        <w:t xml:space="preserve"> </w:t>
      </w:r>
      <w:bookmarkStart w:id="5" w:name="References"/>
      <w:r w:rsidRPr="00316212">
        <w:t>(2024/2856(RSP))</w:t>
      </w:r>
      <w:bookmarkEnd w:id="5"/>
    </w:p>
    <w:p w:rsidR="00395A56" w:rsidRPr="00316212" w:rsidRDefault="00395A56" w:rsidP="00395A56">
      <w:pPr>
        <w:pStyle w:val="EPComma"/>
      </w:pPr>
      <w:bookmarkStart w:id="6" w:name="TextBodyBegin"/>
      <w:bookmarkEnd w:id="6"/>
      <w:r w:rsidRPr="00316212">
        <w:rPr>
          <w:i/>
        </w:rPr>
        <w:t>Европейският парламент</w:t>
      </w:r>
      <w:r w:rsidRPr="00316212">
        <w:t>,</w:t>
      </w:r>
    </w:p>
    <w:p w:rsidR="00395A56" w:rsidRPr="00316212" w:rsidRDefault="00395A56" w:rsidP="00395A56">
      <w:pPr>
        <w:pStyle w:val="NormalHanging12a"/>
      </w:pPr>
      <w:r w:rsidRPr="00316212">
        <w:t>–</w:t>
      </w:r>
      <w:r w:rsidRPr="00316212">
        <w:tab/>
        <w:t>като взе предвид предишните си доклади и резолюции относно Турция,</w:t>
      </w:r>
    </w:p>
    <w:p w:rsidR="00395A56" w:rsidRPr="00316212" w:rsidRDefault="00395A56" w:rsidP="00395A56">
      <w:pPr>
        <w:pStyle w:val="NormalHanging12a"/>
      </w:pPr>
      <w:r w:rsidRPr="00316212">
        <w:t>–</w:t>
      </w:r>
      <w:r w:rsidRPr="00316212">
        <w:tab/>
        <w:t xml:space="preserve">като взе предвид световния индекс за свобода на печата за 2024 г., който нарежда Турция на 158-то място от общо 180 държави, </w:t>
      </w:r>
    </w:p>
    <w:p w:rsidR="00395A56" w:rsidRPr="00316212" w:rsidRDefault="00395A56" w:rsidP="00395A56">
      <w:pPr>
        <w:pStyle w:val="NormalHanging12a"/>
      </w:pPr>
      <w:r w:rsidRPr="00316212">
        <w:t>–</w:t>
      </w:r>
      <w:r w:rsidRPr="00316212">
        <w:tab/>
        <w:t>като взе предвид член 150, параграф 5 и член 136, параграф 4 от своя Правилник за дейността,</w:t>
      </w:r>
    </w:p>
    <w:p w:rsidR="00395A56" w:rsidRPr="00316212" w:rsidRDefault="00395A56" w:rsidP="00395A56">
      <w:pPr>
        <w:pStyle w:val="NormalHanging12a"/>
      </w:pPr>
      <w:r w:rsidRPr="00316212">
        <w:t>А.</w:t>
      </w:r>
      <w:r w:rsidRPr="00316212">
        <w:tab/>
        <w:t xml:space="preserve">като има предвид, че на 6 май 2023 г. Бюлент </w:t>
      </w:r>
      <w:proofErr w:type="spellStart"/>
      <w:r w:rsidRPr="00316212">
        <w:t>Мумай</w:t>
      </w:r>
      <w:proofErr w:type="spellEnd"/>
      <w:r w:rsidRPr="00316212">
        <w:t xml:space="preserve">, турски журналист и координатор на бюрото в Истанбул на турската редакция на „Дойче </w:t>
      </w:r>
      <w:proofErr w:type="spellStart"/>
      <w:r w:rsidRPr="00316212">
        <w:t>веле</w:t>
      </w:r>
      <w:proofErr w:type="spellEnd"/>
      <w:r w:rsidRPr="00316212">
        <w:t xml:space="preserve">“, беше осъден на 20 месеца лишаване от свобода за публикации в социалните медии във връзка с изземването от страна на проправителствено дружество на средствата за метрото на община Истанбул по време на управлението на Партията на справедливостта и развитието (АКП); като има предвид, че жалбата му беше отхвърлена и </w:t>
      </w:r>
      <w:proofErr w:type="spellStart"/>
      <w:r w:rsidRPr="00316212">
        <w:t>туитовете</w:t>
      </w:r>
      <w:proofErr w:type="spellEnd"/>
      <w:r w:rsidRPr="00316212">
        <w:t xml:space="preserve"> му бяха премахнати;</w:t>
      </w:r>
    </w:p>
    <w:p w:rsidR="00395A56" w:rsidRPr="00316212" w:rsidRDefault="00395A56" w:rsidP="00395A56">
      <w:pPr>
        <w:pStyle w:val="NormalHanging12a"/>
      </w:pPr>
      <w:r w:rsidRPr="00316212">
        <w:t>Б.</w:t>
      </w:r>
      <w:r w:rsidRPr="00316212">
        <w:tab/>
        <w:t xml:space="preserve">като има предвид, че на 20 август 2024 г. 26-ият окръжен съд на Истанбул, действащ като апелативен съд, потвърди присъдата и разпореди на органа за информационни и комуникационни технологии да блокира достъпа до новини относно потвърждаването на присъдата лишаване от свобода; </w:t>
      </w:r>
    </w:p>
    <w:p w:rsidR="00395A56" w:rsidRPr="00316212" w:rsidRDefault="00395A56" w:rsidP="00395A56">
      <w:pPr>
        <w:pStyle w:val="NormalHanging12a"/>
      </w:pPr>
      <w:r w:rsidRPr="00316212">
        <w:t>В.</w:t>
      </w:r>
      <w:r w:rsidRPr="00316212">
        <w:tab/>
        <w:t xml:space="preserve">като има предвид, че присъдата, съчетана с многократна цензура, показва нарастващия натиск върху свободата на печата в Турция, като случаят с Бюлент </w:t>
      </w:r>
      <w:proofErr w:type="spellStart"/>
      <w:r w:rsidRPr="00316212">
        <w:t>Мумай</w:t>
      </w:r>
      <w:proofErr w:type="spellEnd"/>
      <w:r w:rsidRPr="00316212">
        <w:t xml:space="preserve"> не е изолиран инцидент, а част от по-широк модел на съдебен тормоз и цензура, насочени срещу независимите медии в Турция; </w:t>
      </w:r>
    </w:p>
    <w:p w:rsidR="00395A56" w:rsidRPr="00316212" w:rsidRDefault="00395A56" w:rsidP="00395A56">
      <w:pPr>
        <w:pStyle w:val="NormalHanging12a"/>
      </w:pPr>
      <w:r w:rsidRPr="00316212">
        <w:t>Г.</w:t>
      </w:r>
      <w:r w:rsidRPr="00316212">
        <w:tab/>
        <w:t xml:space="preserve">като има предвид, че от Турция, като член на Съвета на Европа и държава — кандидатка за членство в ЕС, се изисква да прилага най-високите демократични стандарти и практики, включително зачитането на правата на човека, принципите на правовата държава, основните свободи (като свободата на печата и свободата </w:t>
      </w:r>
      <w:r w:rsidRPr="00316212">
        <w:lastRenderedPageBreak/>
        <w:t xml:space="preserve">на изразяване), всеобщото право на справедлив съдебен процес и стриктното зачитане на принципа на презумпцията за </w:t>
      </w:r>
      <w:proofErr w:type="spellStart"/>
      <w:r w:rsidRPr="00316212">
        <w:t>невиновност</w:t>
      </w:r>
      <w:proofErr w:type="spellEnd"/>
      <w:r w:rsidRPr="00316212">
        <w:t xml:space="preserve"> и правото на справедлив съдебен процес;</w:t>
      </w:r>
    </w:p>
    <w:p w:rsidR="00395A56" w:rsidRPr="00316212" w:rsidRDefault="00395A56" w:rsidP="00395A56">
      <w:pPr>
        <w:pStyle w:val="NormalHanging12a"/>
      </w:pPr>
      <w:r w:rsidRPr="00316212">
        <w:t>1.</w:t>
      </w:r>
      <w:r w:rsidRPr="00316212">
        <w:tab/>
        <w:t xml:space="preserve">осъжда присъдата срещу Бюлент </w:t>
      </w:r>
      <w:proofErr w:type="spellStart"/>
      <w:r w:rsidRPr="00316212">
        <w:t>Мумай</w:t>
      </w:r>
      <w:proofErr w:type="spellEnd"/>
      <w:r w:rsidRPr="00316212">
        <w:t xml:space="preserve">, която е част от по-широк модел на заглушаване на критичната журналистика; призовава турските органи да оттеглят обвиненията срещу Бюлент </w:t>
      </w:r>
      <w:proofErr w:type="spellStart"/>
      <w:r w:rsidRPr="00316212">
        <w:t>Мумай</w:t>
      </w:r>
      <w:proofErr w:type="spellEnd"/>
      <w:r w:rsidRPr="00316212">
        <w:t xml:space="preserve"> и всички произволно задържани медийни работници и журналисти</w:t>
      </w:r>
      <w:r w:rsidR="00FB6607" w:rsidRPr="00FB6607">
        <w:t>, както и срещу политически опоненти, защитници на правата на човека, държавни служители и представители на академичните среди</w:t>
      </w:r>
      <w:r w:rsidRPr="00316212">
        <w:t xml:space="preserve">; </w:t>
      </w:r>
    </w:p>
    <w:p w:rsidR="00395A56" w:rsidRPr="00316212" w:rsidRDefault="00395A56" w:rsidP="00395A56">
      <w:pPr>
        <w:pStyle w:val="NormalHanging12a"/>
      </w:pPr>
      <w:r w:rsidRPr="00316212">
        <w:t>2.</w:t>
      </w:r>
      <w:r w:rsidRPr="00316212">
        <w:tab/>
        <w:t xml:space="preserve">изразява дълбока загриженост относно продължаващото влошаване на демократичните стандарти в Турция, непрекъснатите репресии срещу всички критични гласове и нападенията срещу независими журналисти, активисти и членове на опозицията на фона на честите съобщения за сплашване с правни средства, цензура и финансова принуда като начини за потискане на критиките и разследващата журналистика; </w:t>
      </w:r>
    </w:p>
    <w:p w:rsidR="00395A56" w:rsidRPr="00316212" w:rsidRDefault="00395A56" w:rsidP="00395A56">
      <w:pPr>
        <w:pStyle w:val="NormalHanging12a"/>
      </w:pPr>
      <w:r w:rsidRPr="00316212">
        <w:t>3.</w:t>
      </w:r>
      <w:r w:rsidRPr="00316212">
        <w:tab/>
        <w:t>изразява съжаление относно факта, че турското правителство, чрез редица закони, включително Закона за социалните медии от</w:t>
      </w:r>
      <w:bookmarkStart w:id="7" w:name="_GoBack"/>
      <w:bookmarkEnd w:id="7"/>
      <w:r w:rsidRPr="00316212">
        <w:t xml:space="preserve"> 2020 г., Закона за борба с изпирането на пари от 2021 г. и Закона за дезинформацията от 2022 г., е изградило сложна мрежа от законодателни актове, служеща като инструмент за систематичен контрол и заглушаване на журналистите; изразява дълбока загриженост относно новия „Регламент за чуждестранните агенти“, който ще бъде въведен до края на 2024 г.;</w:t>
      </w:r>
    </w:p>
    <w:p w:rsidR="00395A56" w:rsidRPr="00316212" w:rsidRDefault="00395A56" w:rsidP="00395A56">
      <w:pPr>
        <w:pStyle w:val="NormalHanging12a"/>
      </w:pPr>
      <w:r w:rsidRPr="00316212">
        <w:t>4.</w:t>
      </w:r>
      <w:r w:rsidRPr="00316212">
        <w:tab/>
        <w:t xml:space="preserve">продължава да осъжда липсата на независимост на прокуратурата и на съдебната власт и политическото </w:t>
      </w:r>
      <w:proofErr w:type="spellStart"/>
      <w:r w:rsidRPr="00316212">
        <w:t>инструментализиране</w:t>
      </w:r>
      <w:proofErr w:type="spellEnd"/>
      <w:r w:rsidRPr="00316212">
        <w:t xml:space="preserve"> на съдебната система в Турция и призовава турските органи да възстановят независимостта на съдебната власт, да зачитат свободата на печата и да гарантират спазването на международните задължения в областта на правата на човека;</w:t>
      </w:r>
    </w:p>
    <w:p w:rsidR="00395A56" w:rsidRPr="00316212" w:rsidRDefault="00395A56" w:rsidP="00395A56">
      <w:pPr>
        <w:pStyle w:val="NormalHanging12a"/>
      </w:pPr>
      <w:r w:rsidRPr="00316212">
        <w:t>5.</w:t>
      </w:r>
      <w:r w:rsidRPr="00316212">
        <w:tab/>
        <w:t>призовава ЕСВД да подкрепи по подходящ начин делегацията на ЕС в Турция за засилване на наблюдението на съдебни процеси на задържани журналисти и медийни работници и за повдигане на техните случаи пред турските органи на всички равнища, като същевременно поддържа тесни връзки с гражданското общество;</w:t>
      </w:r>
    </w:p>
    <w:p w:rsidR="00395A56" w:rsidRPr="00316212" w:rsidRDefault="00395A56" w:rsidP="00395A56">
      <w:pPr>
        <w:pStyle w:val="NormalHanging12a"/>
      </w:pPr>
      <w:r w:rsidRPr="00316212">
        <w:t>6.</w:t>
      </w:r>
      <w:r w:rsidRPr="00316212">
        <w:tab/>
        <w:t>възлага на своя председател да предаде настоящата резолюция на Съвета, на Комисията и на ЕСВД, както и на президента, правителството и парламента на Турция, и да разпореди превода ѝ на турски език.</w:t>
      </w:r>
    </w:p>
    <w:p w:rsidR="00E365E1" w:rsidRPr="00316212" w:rsidRDefault="00E365E1" w:rsidP="00B028AE">
      <w:bookmarkStart w:id="8" w:name="TextBodyEnd"/>
      <w:bookmarkEnd w:id="8"/>
    </w:p>
    <w:sectPr w:rsidR="00E365E1" w:rsidRPr="00316212" w:rsidSect="003162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8AE" w:rsidRPr="00316212" w:rsidRDefault="00B028AE">
      <w:r w:rsidRPr="00316212">
        <w:separator/>
      </w:r>
    </w:p>
  </w:endnote>
  <w:endnote w:type="continuationSeparator" w:id="0">
    <w:p w:rsidR="00B028AE" w:rsidRPr="00316212" w:rsidRDefault="00B028AE">
      <w:r w:rsidRPr="003162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2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2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2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8AE" w:rsidRPr="00316212" w:rsidRDefault="00B028AE">
      <w:r w:rsidRPr="00316212">
        <w:separator/>
      </w:r>
    </w:p>
  </w:footnote>
  <w:footnote w:type="continuationSeparator" w:id="0">
    <w:p w:rsidR="00B028AE" w:rsidRPr="00316212" w:rsidRDefault="00B028AE">
      <w:r w:rsidRPr="003162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2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2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2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, 0096, 0097, 0098, 0099 and 0100/2024"/>
    <w:docVar w:name="dvlangue" w:val="BG"/>
    <w:docVar w:name="dvnumam" w:val="0"/>
    <w:docVar w:name="dvpe" w:val="764.113"/>
    <w:docVar w:name="dvtitre" w:val="Резолюция на Европейския парламент от ... 2024 г. относно случая с Бюлент Мумай в Турция(2024/2856(RSP))"/>
  </w:docVars>
  <w:rsids>
    <w:rsidRoot w:val="00B028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212"/>
    <w:rsid w:val="00343214"/>
    <w:rsid w:val="00361C00"/>
    <w:rsid w:val="00395A5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1E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81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8A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60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5F36E9-74C2-4E99-9C21-0E7CFB7C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95A56"/>
    <w:pPr>
      <w:spacing w:after="240"/>
      <w:ind w:left="567" w:hanging="567"/>
    </w:pPr>
  </w:style>
  <w:style w:type="paragraph" w:customStyle="1" w:styleId="EPComma">
    <w:name w:val="EPComma"/>
    <w:basedOn w:val="Normal"/>
    <w:rsid w:val="00395A5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95A5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C9A9B-4D35-46CA-9E84-76FD1A5BA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2024-10-10T11:15:00Z</dcterms:created>
  <dcterms:modified xsi:type="dcterms:W3CDTF">2024-10-10T11:15:00Z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B10-0095, 0096, 0097, 0098, 0099 and 0100/2024</vt:lpwstr>
  </property>
  <property fmtid="{D5CDD505-2E9C-101B-9397-08002B2CF9AE}" pid="4" name="&lt;Type&gt;">
    <vt:lpwstr>RR</vt:lpwstr>
  </property>
</Properties>
</file>