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16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C16C3" w:rsidRDefault="008D2213" w:rsidP="0010095E">
            <w:pPr>
              <w:pStyle w:val="EPName"/>
            </w:pPr>
            <w:bookmarkStart w:id="0" w:name="_GoBack"/>
            <w:bookmarkEnd w:id="0"/>
            <w:r w:rsidRPr="00BC16C3">
              <w:t>Parlament Europejski</w:t>
            </w:r>
          </w:p>
          <w:p w:rsidR="00751A4A" w:rsidRPr="00BC16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16C3">
              <w:t>2024</w:t>
            </w:r>
            <w:r w:rsidR="00817416" w:rsidRPr="00BC16C3">
              <w:t>-202</w:t>
            </w:r>
            <w:r w:rsidRPr="00BC16C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C16C3" w:rsidRDefault="00187494" w:rsidP="0010095E">
            <w:pPr>
              <w:pStyle w:val="EPLogo"/>
            </w:pPr>
            <w:r w:rsidRPr="00BC16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C16C3" w:rsidRDefault="00D058B8" w:rsidP="004C5D52">
      <w:pPr>
        <w:pStyle w:val="LineTop"/>
      </w:pPr>
    </w:p>
    <w:p w:rsidR="00680577" w:rsidRPr="00BC16C3" w:rsidRDefault="008D2213" w:rsidP="00680577">
      <w:pPr>
        <w:pStyle w:val="EPBodyTA1"/>
      </w:pPr>
      <w:r w:rsidRPr="00BC16C3">
        <w:t>TEKSTY PRZYJĘTE</w:t>
      </w:r>
    </w:p>
    <w:p w:rsidR="00D058B8" w:rsidRPr="00BC16C3" w:rsidRDefault="00D058B8" w:rsidP="00D058B8">
      <w:pPr>
        <w:pStyle w:val="LineBottom"/>
      </w:pPr>
    </w:p>
    <w:p w:rsidR="008D2213" w:rsidRPr="00BC16C3" w:rsidRDefault="008D2213" w:rsidP="008D2213">
      <w:pPr>
        <w:pStyle w:val="ATHeading1"/>
      </w:pPr>
      <w:bookmarkStart w:id="1" w:name="TANumber"/>
      <w:r w:rsidRPr="00BC16C3">
        <w:t>P10_TA(2024)00</w:t>
      </w:r>
      <w:r w:rsidR="00027FA2">
        <w:t>18</w:t>
      </w:r>
      <w:bookmarkEnd w:id="1"/>
    </w:p>
    <w:p w:rsidR="008D2213" w:rsidRPr="00E4264C" w:rsidRDefault="00E4264C" w:rsidP="008D2213">
      <w:pPr>
        <w:pStyle w:val="ATHeading2"/>
      </w:pPr>
      <w:r w:rsidRPr="00E4264C">
        <w:rPr>
          <w:bCs/>
        </w:rPr>
        <w:t xml:space="preserve">Sprawa </w:t>
      </w:r>
      <w:proofErr w:type="spellStart"/>
      <w:r w:rsidRPr="00E4264C">
        <w:rPr>
          <w:bCs/>
        </w:rPr>
        <w:t>Bülenta</w:t>
      </w:r>
      <w:proofErr w:type="spellEnd"/>
      <w:r w:rsidRPr="00E4264C">
        <w:rPr>
          <w:bCs/>
        </w:rPr>
        <w:t xml:space="preserve"> </w:t>
      </w:r>
      <w:proofErr w:type="spellStart"/>
      <w:r w:rsidRPr="00E4264C">
        <w:rPr>
          <w:bCs/>
        </w:rPr>
        <w:t>Mumaya</w:t>
      </w:r>
      <w:proofErr w:type="spellEnd"/>
      <w:r w:rsidRPr="00E4264C">
        <w:rPr>
          <w:bCs/>
        </w:rPr>
        <w:t xml:space="preserve"> w Turcji</w:t>
      </w:r>
    </w:p>
    <w:p w:rsidR="008D2213" w:rsidRPr="00BC16C3" w:rsidRDefault="008D2213" w:rsidP="008D2213">
      <w:pPr>
        <w:rPr>
          <w:i/>
          <w:vanish/>
        </w:rPr>
      </w:pPr>
      <w:r w:rsidRPr="00BC16C3">
        <w:rPr>
          <w:i/>
        </w:rPr>
        <w:fldChar w:fldCharType="begin"/>
      </w:r>
      <w:r w:rsidRPr="00BC16C3">
        <w:rPr>
          <w:i/>
        </w:rPr>
        <w:instrText xml:space="preserve"> TC"(</w:instrText>
      </w:r>
      <w:bookmarkStart w:id="2" w:name="DocNumber"/>
      <w:r w:rsidRPr="00BC16C3">
        <w:rPr>
          <w:i/>
        </w:rPr>
        <w:instrText>B10-0095</w:instrText>
      </w:r>
      <w:r w:rsidR="00E4264C">
        <w:rPr>
          <w:i/>
        </w:rPr>
        <w:instrText>, 0096, 0097, 0098, 0099 oraz</w:instrText>
      </w:r>
      <w:proofErr w:type="gramStart"/>
      <w:r w:rsidR="00E4264C">
        <w:rPr>
          <w:i/>
        </w:rPr>
        <w:instrText xml:space="preserve"> 0100</w:instrText>
      </w:r>
      <w:r w:rsidRPr="00BC16C3">
        <w:rPr>
          <w:i/>
        </w:rPr>
        <w:instrText>/2024</w:instrText>
      </w:r>
      <w:bookmarkEnd w:id="2"/>
      <w:r w:rsidRPr="00BC16C3">
        <w:rPr>
          <w:i/>
        </w:rPr>
        <w:instrText>)"\l</w:instrText>
      </w:r>
      <w:proofErr w:type="gramEnd"/>
      <w:r w:rsidRPr="00BC16C3">
        <w:rPr>
          <w:i/>
        </w:rPr>
        <w:instrText xml:space="preserve">3 \n&gt; \* MERGEFORMAT </w:instrText>
      </w:r>
      <w:r w:rsidRPr="00BC16C3">
        <w:rPr>
          <w:i/>
        </w:rPr>
        <w:fldChar w:fldCharType="end"/>
      </w:r>
    </w:p>
    <w:p w:rsidR="008D2213" w:rsidRPr="00BC16C3" w:rsidRDefault="008D2213" w:rsidP="008D2213">
      <w:pPr>
        <w:rPr>
          <w:vanish/>
        </w:rPr>
      </w:pPr>
      <w:bookmarkStart w:id="3" w:name="PE"/>
      <w:r w:rsidRPr="00BC16C3">
        <w:rPr>
          <w:vanish/>
        </w:rPr>
        <w:t>PE764.113</w:t>
      </w:r>
      <w:bookmarkEnd w:id="3"/>
    </w:p>
    <w:p w:rsidR="008D2213" w:rsidRPr="00BC16C3" w:rsidRDefault="008D2213" w:rsidP="008D2213">
      <w:pPr>
        <w:pStyle w:val="ATHeading3"/>
      </w:pPr>
      <w:bookmarkStart w:id="4" w:name="Sujet"/>
      <w:r w:rsidRPr="00BC16C3">
        <w:t xml:space="preserve">Rezolucja Parlamentu Europejskiego z dnia </w:t>
      </w:r>
      <w:r w:rsidR="0058231E">
        <w:t>10 października</w:t>
      </w:r>
      <w:r w:rsidRPr="00BC16C3">
        <w:t xml:space="preserve"> 2024 r. w sprawa </w:t>
      </w:r>
      <w:proofErr w:type="spellStart"/>
      <w:r w:rsidRPr="00BC16C3">
        <w:t>Bülenta</w:t>
      </w:r>
      <w:proofErr w:type="spellEnd"/>
      <w:r w:rsidRPr="00BC16C3">
        <w:t xml:space="preserve"> </w:t>
      </w:r>
      <w:proofErr w:type="spellStart"/>
      <w:r w:rsidRPr="00BC16C3">
        <w:t>Mumaya</w:t>
      </w:r>
      <w:proofErr w:type="spellEnd"/>
      <w:r w:rsidRPr="00BC16C3">
        <w:t xml:space="preserve"> w Turcji</w:t>
      </w:r>
      <w:bookmarkEnd w:id="4"/>
      <w:r w:rsidRPr="00BC16C3">
        <w:t xml:space="preserve"> </w:t>
      </w:r>
      <w:bookmarkStart w:id="5" w:name="References"/>
      <w:r w:rsidRPr="00BC16C3">
        <w:t>(2024/2856(RSP))</w:t>
      </w:r>
      <w:bookmarkEnd w:id="5"/>
    </w:p>
    <w:p w:rsidR="008D2213" w:rsidRPr="00BC16C3" w:rsidRDefault="008D2213" w:rsidP="008D2213"/>
    <w:p w:rsidR="00F37C3A" w:rsidRPr="00BC16C3" w:rsidRDefault="00F37C3A" w:rsidP="00F37C3A">
      <w:pPr>
        <w:pStyle w:val="EPComma"/>
      </w:pPr>
      <w:bookmarkStart w:id="6" w:name="TextBodyBegin"/>
      <w:bookmarkEnd w:id="6"/>
      <w:r w:rsidRPr="00BC16C3">
        <w:rPr>
          <w:i/>
        </w:rPr>
        <w:t>Parlament Europejski</w:t>
      </w:r>
      <w:r w:rsidRPr="00BC16C3">
        <w:t>,</w:t>
      </w:r>
    </w:p>
    <w:p w:rsidR="00F37C3A" w:rsidRPr="00BC16C3" w:rsidRDefault="00F37C3A" w:rsidP="00F37C3A">
      <w:pPr>
        <w:pStyle w:val="NormalHanging12a"/>
      </w:pPr>
      <w:r w:rsidRPr="00BC16C3">
        <w:t>–</w:t>
      </w:r>
      <w:r w:rsidRPr="00BC16C3">
        <w:tab/>
        <w:t>uwzględniając swoje poprzednie sprawozdania i rezolucje w sprawie Turcji,</w:t>
      </w:r>
    </w:p>
    <w:p w:rsidR="00F37C3A" w:rsidRPr="00BC16C3" w:rsidRDefault="00F37C3A" w:rsidP="00F37C3A">
      <w:pPr>
        <w:pStyle w:val="NormalHanging12a"/>
      </w:pPr>
      <w:r w:rsidRPr="00BC16C3">
        <w:t>–</w:t>
      </w:r>
      <w:r w:rsidRPr="00BC16C3">
        <w:tab/>
        <w:t xml:space="preserve">uwzględniając światowy indeks wolności prasy za 2024 r., w którym Turcja plasuje się na 158 miejscu spośród 180 krajów, </w:t>
      </w:r>
    </w:p>
    <w:p w:rsidR="00F37C3A" w:rsidRPr="00BC16C3" w:rsidRDefault="00F37C3A" w:rsidP="00F37C3A">
      <w:pPr>
        <w:pStyle w:val="NormalHanging12a"/>
      </w:pPr>
      <w:r w:rsidRPr="00BC16C3">
        <w:t>–</w:t>
      </w:r>
      <w:r w:rsidRPr="00BC16C3">
        <w:tab/>
        <w:t>uwzględniając art. 150 ust. 5 i art. 136 ust. 4 Regulaminu,</w:t>
      </w:r>
    </w:p>
    <w:p w:rsidR="00F37C3A" w:rsidRPr="00BC16C3" w:rsidRDefault="00F37C3A" w:rsidP="00F37C3A">
      <w:pPr>
        <w:pStyle w:val="NormalHanging12a"/>
      </w:pPr>
      <w:r w:rsidRPr="00BC16C3">
        <w:t>A.</w:t>
      </w:r>
      <w:r w:rsidRPr="00BC16C3">
        <w:tab/>
      </w:r>
      <w:proofErr w:type="gramStart"/>
      <w:r w:rsidRPr="00BC16C3">
        <w:t>mając</w:t>
      </w:r>
      <w:proofErr w:type="gramEnd"/>
      <w:r w:rsidRPr="00BC16C3">
        <w:t xml:space="preserve"> na uwadze, że 6 maja 2023 r. </w:t>
      </w:r>
      <w:proofErr w:type="spellStart"/>
      <w:r w:rsidRPr="00BC16C3">
        <w:t>Bülent</w:t>
      </w:r>
      <w:proofErr w:type="spellEnd"/>
      <w:r w:rsidRPr="00BC16C3">
        <w:t xml:space="preserve"> </w:t>
      </w:r>
      <w:proofErr w:type="spellStart"/>
      <w:r w:rsidRPr="00BC16C3">
        <w:t>Mumay</w:t>
      </w:r>
      <w:proofErr w:type="spellEnd"/>
      <w:r w:rsidRPr="00BC16C3">
        <w:t xml:space="preserve">, turecki dziennikarz i koordynator stambulskiego biura tureckiej redakcji Deutsche </w:t>
      </w:r>
      <w:proofErr w:type="spellStart"/>
      <w:r w:rsidRPr="00BC16C3">
        <w:t>Welle</w:t>
      </w:r>
      <w:proofErr w:type="spellEnd"/>
      <w:r w:rsidRPr="00BC16C3">
        <w:t>, został skazany na 20 miesięcy więzienia za zamieszczenie w mediach społecznościowych postów na temat przejęcia przez prorządowe przedsiębiorstwo funduszy gminy Stambuł przeznaczonych na rozbudowę metra, do czego doszło podczas rządów AKP; mając na uwadze, że złożoną przez niego apelację odrzucono, a jego posty usunięto;</w:t>
      </w:r>
    </w:p>
    <w:p w:rsidR="00F37C3A" w:rsidRPr="00BC16C3" w:rsidRDefault="00F37C3A" w:rsidP="00F37C3A">
      <w:pPr>
        <w:pStyle w:val="NormalHanging12a"/>
      </w:pPr>
      <w:r w:rsidRPr="00BC16C3">
        <w:t>B.</w:t>
      </w:r>
      <w:r w:rsidRPr="00BC16C3">
        <w:tab/>
        <w:t xml:space="preserve">mając na uwadze, że 20 sierpnia 2024 r. 26. Sąd Okręgowy w Stambule, działając jako sąd apelacyjny, utrzymał ten wyrok w mocy i nakazał Urzędowi ds. Technologii Informacyjno-Komunikacyjnych zablokowanie dostępu do doniesień informacyjnych na temat utrzymania tego wyroku w mocy; </w:t>
      </w:r>
    </w:p>
    <w:p w:rsidR="00F37C3A" w:rsidRPr="00BC16C3" w:rsidRDefault="00F37C3A" w:rsidP="00F37C3A">
      <w:pPr>
        <w:pStyle w:val="NormalHanging12a"/>
      </w:pPr>
      <w:r w:rsidRPr="00BC16C3">
        <w:t>C.</w:t>
      </w:r>
      <w:r w:rsidRPr="00BC16C3">
        <w:tab/>
      </w:r>
      <w:proofErr w:type="gramStart"/>
      <w:r w:rsidRPr="00BC16C3">
        <w:t>mając</w:t>
      </w:r>
      <w:proofErr w:type="gramEnd"/>
      <w:r w:rsidRPr="00BC16C3">
        <w:t xml:space="preserve"> na uwadze, że wyrok ten, w połączeniu z powtarzającymi się przypadkami cenzury, świadczy o nasilających się naciskach na wolność prasy w Turcji, przy czym sprawa </w:t>
      </w:r>
      <w:proofErr w:type="spellStart"/>
      <w:r w:rsidRPr="00BC16C3">
        <w:t>Bülenta</w:t>
      </w:r>
      <w:proofErr w:type="spellEnd"/>
      <w:r w:rsidRPr="00BC16C3">
        <w:t xml:space="preserve"> </w:t>
      </w:r>
      <w:proofErr w:type="spellStart"/>
      <w:r w:rsidRPr="00BC16C3">
        <w:t>Mumaya</w:t>
      </w:r>
      <w:proofErr w:type="spellEnd"/>
      <w:r w:rsidRPr="00BC16C3">
        <w:t xml:space="preserve"> nie jest odosobnionym incydentem, lecz wpisuje się w szerszy schemat szykan sądowych i cenzury wymierzonych w niezależne tureckie media; </w:t>
      </w:r>
    </w:p>
    <w:p w:rsidR="00F37C3A" w:rsidRPr="00BC16C3" w:rsidRDefault="00F37C3A" w:rsidP="00F37C3A">
      <w:pPr>
        <w:pStyle w:val="NormalHanging12a"/>
      </w:pPr>
      <w:r w:rsidRPr="00BC16C3">
        <w:t>D.</w:t>
      </w:r>
      <w:r w:rsidRPr="00BC16C3">
        <w:tab/>
      </w:r>
      <w:proofErr w:type="gramStart"/>
      <w:r w:rsidRPr="00BC16C3">
        <w:t>mając</w:t>
      </w:r>
      <w:proofErr w:type="gramEnd"/>
      <w:r w:rsidRPr="00BC16C3">
        <w:t xml:space="preserve"> na uwadze, że Turcja – jako członek Rady Europy i kraj kandydujący do UE – ma obowiązek przestrzegania najwyższych standardów i praktyk demokratycznych, w tym poszanowania praw człowieka, praworządności, podstawowych wolności (takich jak wolność prasy i wolność słowa), powszechnego prawa dostępu do bezstronnego sądu, a także ścisłego przestrzegania zasady domniemania niewinności i prawa do </w:t>
      </w:r>
      <w:r w:rsidRPr="00BC16C3">
        <w:lastRenderedPageBreak/>
        <w:t>rzetelnego procesu sądowego;</w:t>
      </w:r>
    </w:p>
    <w:p w:rsidR="00F37C3A" w:rsidRPr="00BC16C3" w:rsidRDefault="00F37C3A" w:rsidP="00F37C3A">
      <w:pPr>
        <w:pStyle w:val="NormalHanging12a"/>
      </w:pPr>
      <w:r w:rsidRPr="00BC16C3">
        <w:t>1.</w:t>
      </w:r>
      <w:r w:rsidRPr="00BC16C3">
        <w:tab/>
      </w:r>
      <w:proofErr w:type="gramStart"/>
      <w:r w:rsidRPr="00BC16C3">
        <w:t>potępia</w:t>
      </w:r>
      <w:proofErr w:type="gramEnd"/>
      <w:r w:rsidRPr="00BC16C3">
        <w:t xml:space="preserve"> wyrok skazujący </w:t>
      </w:r>
      <w:proofErr w:type="spellStart"/>
      <w:r w:rsidRPr="00BC16C3">
        <w:t>Bülenta</w:t>
      </w:r>
      <w:proofErr w:type="spellEnd"/>
      <w:r w:rsidRPr="00BC16C3">
        <w:t xml:space="preserve"> </w:t>
      </w:r>
      <w:proofErr w:type="spellStart"/>
      <w:r w:rsidRPr="00BC16C3">
        <w:t>Mumaya</w:t>
      </w:r>
      <w:proofErr w:type="spellEnd"/>
      <w:r w:rsidRPr="00BC16C3">
        <w:t xml:space="preserve">, który wpisuje się w szerszy schemat uciszania krytycznego dziennikarstwa; wzywa tureckie władze do wycofania zarzutów stawianych </w:t>
      </w:r>
      <w:proofErr w:type="spellStart"/>
      <w:r w:rsidRPr="00BC16C3">
        <w:t>Bülentowi</w:t>
      </w:r>
      <w:proofErr w:type="spellEnd"/>
      <w:r w:rsidRPr="00BC16C3">
        <w:t xml:space="preserve"> </w:t>
      </w:r>
      <w:proofErr w:type="spellStart"/>
      <w:r w:rsidRPr="00BC16C3">
        <w:t>Mumayowi</w:t>
      </w:r>
      <w:proofErr w:type="spellEnd"/>
      <w:r w:rsidRPr="00BC16C3">
        <w:t xml:space="preserve"> oraz wszystkim arbitralnie zatrzymanym pracownikom mediów i dziennikarzom</w:t>
      </w:r>
      <w:r w:rsidR="00027FA2" w:rsidRPr="00167D69">
        <w:t>, a także przeciwnikom politycznym, obrońcom praw człowieka, urzędnikom służby cywilnej i pracownikom naukowym</w:t>
      </w:r>
      <w:r w:rsidRPr="00BC16C3">
        <w:t xml:space="preserve">; </w:t>
      </w:r>
    </w:p>
    <w:p w:rsidR="00F37C3A" w:rsidRPr="00BC16C3" w:rsidRDefault="00F37C3A" w:rsidP="00F37C3A">
      <w:pPr>
        <w:pStyle w:val="NormalHanging12a"/>
      </w:pPr>
      <w:r w:rsidRPr="00BC16C3">
        <w:t>2.</w:t>
      </w:r>
      <w:r w:rsidRPr="00BC16C3">
        <w:tab/>
      </w:r>
      <w:proofErr w:type="gramStart"/>
      <w:r w:rsidRPr="00BC16C3">
        <w:t>jest</w:t>
      </w:r>
      <w:proofErr w:type="gramEnd"/>
      <w:r w:rsidRPr="00BC16C3">
        <w:t xml:space="preserve"> głęboko zaniepokojony ciągłym regresem standardów demokratycznych w Turcji, nieustającym tłumieniem wszelkich krytycznych głosów i atakami na niezależnych dziennikarzy, działaczy i członków opozycji, a także częstymi doniesieniami o zastraszaniu prawnym, cenzurze i przymusie finansowym, stosowanymi do tłumienia krytyki i dziennikarstwa śledczego; </w:t>
      </w:r>
    </w:p>
    <w:p w:rsidR="00F37C3A" w:rsidRPr="00BC16C3" w:rsidRDefault="00F37C3A" w:rsidP="00F37C3A">
      <w:pPr>
        <w:pStyle w:val="NormalHanging12a"/>
      </w:pPr>
      <w:r w:rsidRPr="00BC16C3">
        <w:t>3.</w:t>
      </w:r>
      <w:r w:rsidRPr="00BC16C3">
        <w:tab/>
      </w:r>
      <w:proofErr w:type="gramStart"/>
      <w:r w:rsidRPr="00BC16C3">
        <w:t>ubolewa</w:t>
      </w:r>
      <w:proofErr w:type="gramEnd"/>
      <w:r w:rsidRPr="00BC16C3">
        <w:t>, że wprowadzając szereg ustaw, w tym ustawę o mediach społecznościowych w 2020 r., ustawę o przeciwdziałaniu praniu pieniędzy w 2021 r. i ustawę o dezinformacji w 2022 r., turecki rząd stworzył złożoną sieć przepisów służącą do systematycznej kontroli i uciszania dziennikarzy; wyraża głębokie zaniepokojenie nowymi przepisami w sprawie „agentów zagranicznych”, które mają wejść w życie do końca 2024 r.;</w:t>
      </w:r>
    </w:p>
    <w:p w:rsidR="00F37C3A" w:rsidRPr="00BC16C3" w:rsidRDefault="00F37C3A" w:rsidP="00F37C3A">
      <w:pPr>
        <w:pStyle w:val="NormalHanging12a"/>
      </w:pPr>
      <w:r w:rsidRPr="00BC16C3">
        <w:t>4.</w:t>
      </w:r>
      <w:r w:rsidRPr="00BC16C3">
        <w:tab/>
      </w:r>
      <w:proofErr w:type="gramStart"/>
      <w:r w:rsidRPr="00BC16C3">
        <w:t>ponownie</w:t>
      </w:r>
      <w:proofErr w:type="gramEnd"/>
      <w:r w:rsidRPr="00BC16C3">
        <w:t xml:space="preserve"> potępia brak niezależności prokuratury i sądownictwa oraz polityczną instrumentalizację systemu sądowego w Turcji, a także wzywa władze tureckie do przywrócenia niezależności sądów, poszanowania wolności prasy i zagwarantowania przestrzegania międzynarodowych zobowiązań w zakresie praw człowieka;</w:t>
      </w:r>
    </w:p>
    <w:p w:rsidR="00F37C3A" w:rsidRPr="00BC16C3" w:rsidRDefault="00F37C3A" w:rsidP="00F37C3A">
      <w:pPr>
        <w:pStyle w:val="NormalHanging12a"/>
      </w:pPr>
      <w:r w:rsidRPr="00BC16C3">
        <w:t>5.</w:t>
      </w:r>
      <w:r w:rsidRPr="00BC16C3">
        <w:tab/>
      </w:r>
      <w:proofErr w:type="gramStart"/>
      <w:r w:rsidRPr="00BC16C3">
        <w:t>wzywa</w:t>
      </w:r>
      <w:proofErr w:type="gramEnd"/>
      <w:r w:rsidRPr="00BC16C3">
        <w:t xml:space="preserve"> ESDZ, aby udzieliła odpowiedniego wsparcia delegaturze UE w Turcji w szerszej obserwacji procesów sądowych zatrzymanych dziennikarzy i pracowników mediów oraz w rozmowach na ich temat z władzami tureckimi na wszystkich szczeblach, przy jednoczesnym utrzymaniu bliskich stosunków ze społeczeństwem obywatelskim;</w:t>
      </w:r>
    </w:p>
    <w:p w:rsidR="00F37C3A" w:rsidRPr="00BC16C3" w:rsidRDefault="00F37C3A" w:rsidP="00F37C3A">
      <w:pPr>
        <w:pStyle w:val="NormalHanging12a"/>
      </w:pPr>
      <w:r w:rsidRPr="00BC16C3">
        <w:t>6.</w:t>
      </w:r>
      <w:r w:rsidRPr="00BC16C3">
        <w:tab/>
        <w:t>zobowiązuje swoją przewodniczącą do przekazania niniejszej rezolucji Radzie</w:t>
      </w:r>
      <w:proofErr w:type="gramStart"/>
      <w:r w:rsidRPr="00BC16C3">
        <w:t>, Komisji</w:t>
      </w:r>
      <w:proofErr w:type="gramEnd"/>
      <w:r w:rsidRPr="00BC16C3">
        <w:t>, ESDZ oraz prezydentowi, rządowi i parlamentowi Turcji, a także zwraca się o przetłumaczenie niniejszej rezolucji na język turecki.</w:t>
      </w:r>
    </w:p>
    <w:p w:rsidR="00F37C3A" w:rsidRPr="00BC16C3" w:rsidRDefault="00F37C3A" w:rsidP="00F37C3A">
      <w:pPr>
        <w:widowControl/>
      </w:pPr>
    </w:p>
    <w:p w:rsidR="00E365E1" w:rsidRPr="00BC16C3" w:rsidRDefault="00E365E1" w:rsidP="008D2213">
      <w:bookmarkStart w:id="7" w:name="TextBodyEnd"/>
      <w:bookmarkEnd w:id="7"/>
    </w:p>
    <w:sectPr w:rsidR="00E365E1" w:rsidRPr="00BC16C3" w:rsidSect="00BC16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213" w:rsidRPr="00BC16C3" w:rsidRDefault="008D2213">
      <w:r w:rsidRPr="00BC16C3">
        <w:separator/>
      </w:r>
    </w:p>
  </w:endnote>
  <w:endnote w:type="continuationSeparator" w:id="0">
    <w:p w:rsidR="008D2213" w:rsidRPr="00BC16C3" w:rsidRDefault="008D2213">
      <w:r w:rsidRPr="00BC16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6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6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6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213" w:rsidRPr="00BC16C3" w:rsidRDefault="008D2213">
      <w:r w:rsidRPr="00BC16C3">
        <w:separator/>
      </w:r>
    </w:p>
  </w:footnote>
  <w:footnote w:type="continuationSeparator" w:id="0">
    <w:p w:rsidR="008D2213" w:rsidRPr="00BC16C3" w:rsidRDefault="008D2213">
      <w:r w:rsidRPr="00BC16C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6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6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6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95/2024"/>
    <w:docVar w:name="dvlangue" w:val="PL"/>
    <w:docVar w:name="dvnumam" w:val="0"/>
    <w:docVar w:name="dvpe" w:val="764.113"/>
    <w:docVar w:name="dvtitre" w:val="Rezolucja Parlamentu Europejskiego z dnia  2024 r. w sprawa Bülenta Mumaya w Turcji(2024/2856(RSP))"/>
  </w:docVars>
  <w:rsids>
    <w:rsidRoot w:val="008D2213"/>
    <w:rsid w:val="00002272"/>
    <w:rsid w:val="00027FA2"/>
    <w:rsid w:val="00064002"/>
    <w:rsid w:val="000677B9"/>
    <w:rsid w:val="000831BA"/>
    <w:rsid w:val="000A42CC"/>
    <w:rsid w:val="000E7DD9"/>
    <w:rsid w:val="0010095E"/>
    <w:rsid w:val="00125B37"/>
    <w:rsid w:val="00167D69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31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21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6C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264C"/>
    <w:rsid w:val="00E820A4"/>
    <w:rsid w:val="00EB006A"/>
    <w:rsid w:val="00EB4772"/>
    <w:rsid w:val="00ED169E"/>
    <w:rsid w:val="00ED4235"/>
    <w:rsid w:val="00F04346"/>
    <w:rsid w:val="00F075DC"/>
    <w:rsid w:val="00F149E9"/>
    <w:rsid w:val="00F37C3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CE9ED6-ADC8-4E23-9171-C8B9E152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37C3A"/>
    <w:pPr>
      <w:spacing w:after="240"/>
      <w:ind w:left="567" w:hanging="567"/>
    </w:pPr>
  </w:style>
  <w:style w:type="paragraph" w:customStyle="1" w:styleId="EPComma">
    <w:name w:val="EPComma"/>
    <w:basedOn w:val="Normal"/>
    <w:rsid w:val="00F37C3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37C3A"/>
    <w:rPr>
      <w:sz w:val="24"/>
      <w:lang w:val="pl-PL"/>
    </w:rPr>
  </w:style>
  <w:style w:type="paragraph" w:styleId="BalloonText">
    <w:name w:val="Balloon Text"/>
    <w:basedOn w:val="Normal"/>
    <w:link w:val="BalloonTextChar"/>
    <w:rsid w:val="00027F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7FA2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B67F3-DB7F-43AC-A29B-A4FF229DC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2024-10-10T12:17:00Z</dcterms:created>
  <dcterms:modified xsi:type="dcterms:W3CDTF">2024-10-10T12:17:00Z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B10-0095/2024</vt:lpwstr>
  </property>
  <property fmtid="{D5CDD505-2E9C-101B-9397-08002B2CF9AE}" pid="4" name="&lt;Type&gt;">
    <vt:lpwstr>RR</vt:lpwstr>
  </property>
</Properties>
</file>