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P10_TA(2024)0019</w:t>
      </w:r>
      <w:bookmarkEnd w:id="1"/>
    </w:p>
    <w:p>
      <w:pPr>
        <w:pStyle w:val="ATHeading2"/>
      </w:pPr>
      <w:bookmarkStart w:id="2" w:name="title"/>
      <w:r>
        <w:t xml:space="preserve">Prípady nespravodlivo uväznených </w:t>
      </w:r>
      <w:proofErr w:type="spellStart"/>
      <w:r>
        <w:t>Ujgurov</w:t>
      </w:r>
      <w:proofErr w:type="spellEnd"/>
      <w:r>
        <w:t xml:space="preserve"> v Číne, najmä </w:t>
      </w:r>
      <w:proofErr w:type="spellStart"/>
      <w:r>
        <w:t>Ilhama</w:t>
      </w:r>
      <w:proofErr w:type="spellEnd"/>
      <w:r>
        <w:t xml:space="preserve"> </w:t>
      </w:r>
      <w:proofErr w:type="spellStart"/>
      <w:r>
        <w:t>Tohtiho</w:t>
      </w:r>
      <w:proofErr w:type="spellEnd"/>
      <w:r>
        <w:t xml:space="preserve"> a </w:t>
      </w:r>
      <w:proofErr w:type="spellStart"/>
      <w:r>
        <w:t>Gulshan</w:t>
      </w:r>
      <w:proofErr w:type="spellEnd"/>
      <w:r>
        <w:t xml:space="preserve"> </w:t>
      </w:r>
      <w:proofErr w:type="spellStart"/>
      <w:r>
        <w:t>Abbasovej</w:t>
      </w:r>
      <w:bookmarkEnd w:id="2"/>
      <w:proofErr w:type="spellEnd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B10-0101, 0115, 0116, 0117 a 0118/2024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PE764.119</w:t>
      </w:r>
      <w:bookmarkEnd w:id="4"/>
    </w:p>
    <w:p>
      <w:pPr>
        <w:pStyle w:val="ATHeading3"/>
      </w:pPr>
      <w:bookmarkStart w:id="5" w:name="Sujet"/>
      <w:r>
        <w:t xml:space="preserve">Uznesenie Európskeho parlamentu z 10. októbra 2024 o prípadoch nespravodlivo uväznených </w:t>
      </w:r>
      <w:proofErr w:type="spellStart"/>
      <w:r>
        <w:t>Ujgurov</w:t>
      </w:r>
      <w:proofErr w:type="spellEnd"/>
      <w:r>
        <w:t xml:space="preserve"> v Číne, najmä </w:t>
      </w:r>
      <w:proofErr w:type="spellStart"/>
      <w:r>
        <w:t>Ilhama</w:t>
      </w:r>
      <w:proofErr w:type="spellEnd"/>
      <w:r>
        <w:t xml:space="preserve"> </w:t>
      </w:r>
      <w:proofErr w:type="spellStart"/>
      <w:r>
        <w:t>Tohtiho</w:t>
      </w:r>
      <w:proofErr w:type="spellEnd"/>
      <w:r>
        <w:t xml:space="preserve"> a </w:t>
      </w:r>
      <w:proofErr w:type="spellStart"/>
      <w:r>
        <w:t>Gulshan</w:t>
      </w:r>
      <w:proofErr w:type="spellEnd"/>
      <w:r>
        <w:t xml:space="preserve"> </w:t>
      </w:r>
      <w:proofErr w:type="spellStart"/>
      <w:r>
        <w:t>Abbasovej</w:t>
      </w:r>
      <w:bookmarkEnd w:id="5"/>
      <w:proofErr w:type="spellEnd"/>
      <w:r>
        <w:t xml:space="preserve"> </w:t>
      </w:r>
      <w:bookmarkStart w:id="6" w:name="References"/>
      <w:r>
        <w:t>(2024/2857(RSP))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články 4 a 36 ústavy Čínskej ľudovej republiky (ďalej len „ČĽR“),</w:t>
      </w:r>
    </w:p>
    <w:p>
      <w:pPr>
        <w:pStyle w:val="NormalHanging12a"/>
      </w:pPr>
      <w:r>
        <w:t>–</w:t>
      </w:r>
      <w:r>
        <w:tab/>
        <w:t>so zreteľom na článok 150 ods. 5 a článok 136 ods. 4 rokovacieho poriadku,</w:t>
      </w:r>
    </w:p>
    <w:p>
      <w:pPr>
        <w:pStyle w:val="NormalHanging12a"/>
        <w:rPr>
          <w:szCs w:val="24"/>
        </w:rPr>
      </w:pPr>
      <w:r>
        <w:t>A.</w:t>
      </w:r>
      <w:r>
        <w:tab/>
        <w:t xml:space="preserve">keďže v roku 2014 bol </w:t>
      </w:r>
      <w:proofErr w:type="spellStart"/>
      <w:r>
        <w:t>Ilham</w:t>
      </w:r>
      <w:proofErr w:type="spellEnd"/>
      <w:r>
        <w:t xml:space="preserve"> </w:t>
      </w:r>
      <w:proofErr w:type="spellStart"/>
      <w:r>
        <w:t>Tohti</w:t>
      </w:r>
      <w:proofErr w:type="spellEnd"/>
      <w:r>
        <w:t xml:space="preserve"> odsúdený na základe politicky motivovaných obvinení zo „separatizmu“ a dostal doživotný trest odňatia slobody; keďže sa usiloval o posilnenie dialógu medzi </w:t>
      </w:r>
      <w:proofErr w:type="spellStart"/>
      <w:r>
        <w:t>Ujgurmi</w:t>
      </w:r>
      <w:proofErr w:type="spellEnd"/>
      <w:r>
        <w:t xml:space="preserve"> a čínskymi </w:t>
      </w:r>
      <w:proofErr w:type="spellStart"/>
      <w:r>
        <w:t>Chanmi</w:t>
      </w:r>
      <w:proofErr w:type="spellEnd"/>
      <w:r>
        <w:t xml:space="preserve">; keďže mu bola udelená </w:t>
      </w:r>
      <w:proofErr w:type="spellStart"/>
      <w:r>
        <w:t>Sacharovova</w:t>
      </w:r>
      <w:proofErr w:type="spellEnd"/>
      <w:r>
        <w:t xml:space="preserve"> cena za rok 2019;</w:t>
      </w:r>
    </w:p>
    <w:p>
      <w:pPr>
        <w:pStyle w:val="NormalHanging12a"/>
        <w:rPr>
          <w:szCs w:val="24"/>
        </w:rPr>
      </w:pPr>
      <w:r>
        <w:t>B.</w:t>
      </w:r>
      <w:r>
        <w:tab/>
        <w:t xml:space="preserve">keďže </w:t>
      </w:r>
      <w:proofErr w:type="spellStart"/>
      <w:r>
        <w:t>Gulshan</w:t>
      </w:r>
      <w:proofErr w:type="spellEnd"/>
      <w:r>
        <w:t xml:space="preserve"> </w:t>
      </w:r>
      <w:proofErr w:type="spellStart"/>
      <w:r>
        <w:t>Abbasová</w:t>
      </w:r>
      <w:proofErr w:type="spellEnd"/>
      <w:r>
        <w:t xml:space="preserve"> si odpykáva 20-ročný trest odňatia slobody na základe falošných obvinení z činností súvisiacich s terorizmom v spojitosti s aktivitami jej sestry, obhajkyne ľudských práv prenasledovaných </w:t>
      </w:r>
      <w:proofErr w:type="spellStart"/>
      <w:r>
        <w:t>Ujgurov</w:t>
      </w:r>
      <w:proofErr w:type="spellEnd"/>
      <w:r>
        <w:t xml:space="preserve"> v ČĽR;</w:t>
      </w:r>
    </w:p>
    <w:p>
      <w:pPr>
        <w:pStyle w:val="NormalHanging12a"/>
        <w:rPr>
          <w:szCs w:val="24"/>
        </w:rPr>
      </w:pPr>
      <w:r>
        <w:t>C.</w:t>
      </w:r>
      <w:r>
        <w:tab/>
        <w:t xml:space="preserve">keďže to odráža systémové represie uplatňované orgánmi ČĽR voči </w:t>
      </w:r>
      <w:proofErr w:type="spellStart"/>
      <w:r>
        <w:t>Ujgurom</w:t>
      </w:r>
      <w:proofErr w:type="spellEnd"/>
      <w:r>
        <w:t xml:space="preserve"> v </w:t>
      </w:r>
      <w:proofErr w:type="spellStart"/>
      <w:r>
        <w:t>Ujgurskej</w:t>
      </w:r>
      <w:proofErr w:type="spellEnd"/>
      <w:r>
        <w:t xml:space="preserve"> autonómnej oblasti Sin-</w:t>
      </w:r>
      <w:proofErr w:type="spellStart"/>
      <w:r>
        <w:t>ťiang</w:t>
      </w:r>
      <w:proofErr w:type="spellEnd"/>
      <w:r>
        <w:t xml:space="preserve">; keďže </w:t>
      </w:r>
      <w:proofErr w:type="spellStart"/>
      <w:r>
        <w:t>Ujguri</w:t>
      </w:r>
      <w:proofErr w:type="spellEnd"/>
      <w:r>
        <w:t xml:space="preserve"> sú svojvoľne zadržiavaní v internačných táboroch a nútení vzdať sa svojej etnickej identity a náboženského presvedčenia;</w:t>
      </w:r>
    </w:p>
    <w:p>
      <w:pPr>
        <w:pStyle w:val="NormalHanging12a"/>
        <w:rPr>
          <w:szCs w:val="24"/>
        </w:rPr>
      </w:pPr>
      <w:r>
        <w:t>D.</w:t>
      </w:r>
      <w:r>
        <w:tab/>
        <w:t>keďže obrana ľudských práv, demokracie a právneho štátu by mala byť stredobodom vzťahov medzi EÚ a ČĽR;</w:t>
      </w:r>
    </w:p>
    <w:p>
      <w:pPr>
        <w:pStyle w:val="NormalHanging12a"/>
        <w:rPr>
          <w:szCs w:val="24"/>
        </w:rPr>
      </w:pPr>
      <w:r>
        <w:t>1.</w:t>
      </w:r>
      <w:r>
        <w:tab/>
        <w:t xml:space="preserve">dôrazne odsudzuje, že ČĽR porušuje ľudské práva </w:t>
      </w:r>
      <w:proofErr w:type="spellStart"/>
      <w:r>
        <w:t>Ujgurov</w:t>
      </w:r>
      <w:proofErr w:type="spellEnd"/>
      <w:r>
        <w:t xml:space="preserve"> a obyvateľov Tibetu, Hongkongu, Macau a kontinentálnej Číny;</w:t>
      </w:r>
    </w:p>
    <w:p>
      <w:pPr>
        <w:pStyle w:val="NormalHanging12a"/>
        <w:rPr>
          <w:szCs w:val="24"/>
        </w:rPr>
      </w:pPr>
      <w:r>
        <w:t>2.</w:t>
      </w:r>
      <w:r>
        <w:tab/>
        <w:t xml:space="preserve">naliehavo vyzýva ČĽR, aby okamžite a bezpodmienečne prepustila </w:t>
      </w:r>
      <w:proofErr w:type="spellStart"/>
      <w:r>
        <w:t>Ilhama</w:t>
      </w:r>
      <w:proofErr w:type="spellEnd"/>
      <w:r>
        <w:t xml:space="preserve"> </w:t>
      </w:r>
      <w:proofErr w:type="spellStart"/>
      <w:r>
        <w:t>Tohtiho</w:t>
      </w:r>
      <w:proofErr w:type="spellEnd"/>
      <w:r>
        <w:t xml:space="preserve"> a </w:t>
      </w:r>
      <w:proofErr w:type="spellStart"/>
      <w:r>
        <w:t>Gulshan</w:t>
      </w:r>
      <w:proofErr w:type="spellEnd"/>
      <w:r>
        <w:t xml:space="preserve"> </w:t>
      </w:r>
      <w:proofErr w:type="spellStart"/>
      <w:r>
        <w:t>Abbasovú</w:t>
      </w:r>
      <w:proofErr w:type="spellEnd"/>
      <w:r>
        <w:t xml:space="preserve">, ako aj osoby, ktoré sú svojvoľne zadržiavané v Číne, a osoby, ktoré EÚ spomenula počas 57. zasadnutia Rady OSN pre ľudské práva, aby im zaručila prístup k zdravotnej starostlivosti a právnikom, poskytla informácie o mieste ich pobytu </w:t>
      </w:r>
      <w:r>
        <w:lastRenderedPageBreak/>
        <w:t>a zabezpečila ich rodinám právo na návštevu; vyzýva EÚ a členské štáty, aby v tomto ohľade vyvíjali tlak pri každom kontakte na vysokej úrovni;</w:t>
      </w:r>
    </w:p>
    <w:p>
      <w:pPr>
        <w:pStyle w:val="NormalHanging12a"/>
        <w:rPr>
          <w:szCs w:val="24"/>
        </w:rPr>
      </w:pPr>
      <w:r>
        <w:t>3.</w:t>
      </w:r>
      <w:r>
        <w:tab/>
        <w:t>vyzýva EÚ a členské štáty, aby prijali dodatočné sankcie voči vysokopostaveným úradníkom a subjektom zapojeným do porušovania ľudských práv v ČĽR;</w:t>
      </w:r>
    </w:p>
    <w:p>
      <w:pPr>
        <w:pStyle w:val="NormalHanging12a"/>
        <w:rPr>
          <w:szCs w:val="24"/>
        </w:rPr>
      </w:pPr>
      <w:r>
        <w:t>4.</w:t>
      </w:r>
      <w:r>
        <w:tab/>
        <w:t xml:space="preserve">žiada, aby orgány ČĽR zastavili represie voči </w:t>
      </w:r>
      <w:proofErr w:type="spellStart"/>
      <w:r>
        <w:t>Ujgurom</w:t>
      </w:r>
      <w:proofErr w:type="spellEnd"/>
      <w:r>
        <w:t xml:space="preserve"> a útoky na nich v rámci svojej zneužívajúcej politiky vrátane intenzívneho sledovania, nútenej práce, sterilizácie, opatrení na predchádzanie pôrodom a ničenia </w:t>
      </w:r>
      <w:proofErr w:type="spellStart"/>
      <w:r>
        <w:t>ujgurskej</w:t>
      </w:r>
      <w:proofErr w:type="spellEnd"/>
      <w:r>
        <w:t xml:space="preserve"> identity, čo predstavuje zločiny proti ľudskosti a je spojené s vážnym rizikom genocídy; vyzýva na zatvorenie všetkých internačných táborov;</w:t>
      </w:r>
    </w:p>
    <w:p>
      <w:pPr>
        <w:pStyle w:val="NormalHanging12a"/>
        <w:rPr>
          <w:szCs w:val="24"/>
        </w:rPr>
      </w:pPr>
      <w:r>
        <w:t>5.</w:t>
      </w:r>
      <w:r>
        <w:tab/>
        <w:t xml:space="preserve">dôrazne odsudzuje ČĽR za to, že nevykonala odporúčania Úradu vysokého komisára OSN pre ľudské práva (OHCHR); žiada ČĽR, aby OHCHR umožnila nezávislý prístup do </w:t>
      </w:r>
      <w:proofErr w:type="spellStart"/>
      <w:r>
        <w:t>Ujgurskej</w:t>
      </w:r>
      <w:proofErr w:type="spellEnd"/>
      <w:r>
        <w:t xml:space="preserve"> autonómnej oblasti Sin-</w:t>
      </w:r>
      <w:proofErr w:type="spellStart"/>
      <w:r>
        <w:t>ťiang</w:t>
      </w:r>
      <w:proofErr w:type="spellEnd"/>
      <w:r>
        <w:t>, a vyzýva OHCHR, aby vydal komplexnú aktualizáciu situácie a predstavil akčný plán na vyvodenie zodpovednosti voči ČĽR;</w:t>
      </w:r>
    </w:p>
    <w:p>
      <w:pPr>
        <w:pStyle w:val="NormalHanging12a"/>
        <w:rPr>
          <w:szCs w:val="24"/>
        </w:rPr>
      </w:pPr>
      <w:r>
        <w:t>6.</w:t>
      </w:r>
      <w:r>
        <w:tab/>
        <w:t>vyjadruje poľutovanie nad nedostatočným odhodlaním ČĽR viesť dialóg o ľudských právach a nad tým, že sa nedosiahli žiadne výsledky;</w:t>
      </w:r>
    </w:p>
    <w:p>
      <w:pPr>
        <w:pStyle w:val="NormalHanging12a"/>
        <w:rPr>
          <w:szCs w:val="24"/>
        </w:rPr>
      </w:pPr>
      <w:r>
        <w:t>7.</w:t>
      </w:r>
      <w:r>
        <w:tab/>
        <w:t>vyzýva členské štáty a medzinárodné spoločenstvo, aby pozastavili zmluvy s ČĽR a Hongkongom o vydávaní osôb, dodržiavali zásadu zákazu vyhostenia alebo vrátenia a vykonávali správu Úradu vysokého komisára OSN pre ľudské práva;</w:t>
      </w:r>
    </w:p>
    <w:p>
      <w:pPr>
        <w:pStyle w:val="NormalHanging12a"/>
        <w:rPr>
          <w:szCs w:val="24"/>
        </w:rPr>
      </w:pPr>
      <w:r>
        <w:t>8.</w:t>
      </w:r>
      <w:r>
        <w:tab/>
        <w:t xml:space="preserve">naliehavo vyzýva členské štáty, aby riešili nadnárodné represie voči čínskym disidentom a </w:t>
      </w:r>
      <w:proofErr w:type="spellStart"/>
      <w:r>
        <w:t>Ujgurom</w:t>
      </w:r>
      <w:proofErr w:type="spellEnd"/>
      <w:r>
        <w:t xml:space="preserve"> na svojom území a stíhali zodpovedné osoby;</w:t>
      </w:r>
    </w:p>
    <w:p>
      <w:pPr>
        <w:pStyle w:val="NormalHanging12a"/>
        <w:rPr>
          <w:szCs w:val="24"/>
        </w:rPr>
      </w:pPr>
      <w:r>
        <w:t>9.</w:t>
      </w:r>
      <w:r>
        <w:tab/>
        <w:t>víta nariadenie EÚ o nútenej práci a trvá na jeho úplnom vykonávaní; vyzýva podniky pôsobiace v ČĽR, najmä v </w:t>
      </w:r>
      <w:proofErr w:type="spellStart"/>
      <w:r>
        <w:t>Ujgurskej</w:t>
      </w:r>
      <w:proofErr w:type="spellEnd"/>
      <w:r>
        <w:t xml:space="preserve"> autonómnej oblasti Sin-</w:t>
      </w:r>
      <w:proofErr w:type="spellStart"/>
      <w:r>
        <w:t>ťiang</w:t>
      </w:r>
      <w:proofErr w:type="spellEnd"/>
      <w:r>
        <w:t>, aby si plnili povinnosti náležitej starostlivosti v oblasti ľudských zdrojov;</w:t>
      </w:r>
    </w:p>
    <w:p>
      <w:pPr>
        <w:pStyle w:val="NormalHanging12a"/>
      </w:pPr>
      <w:r>
        <w:t>10.</w:t>
      </w:r>
      <w:r>
        <w:tab/>
        <w:t>poveruje svoju predsedníčku, aby toto uznesenie postúpila orgánom ČĽR, PK/VP, Komisii, členským štátom a Organizácii Spojených národov.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, 0115, 0116, 0117 a 0118/2024"/>
    <w:docVar w:name="dvlangue" w:val="SK"/>
    <w:docVar w:name="dvnumam" w:val="0"/>
    <w:docVar w:name="dvpe" w:val="764.119"/>
    <w:docVar w:name="dvtitre" w:val="Uznesenie Európskeho parlamentu z 10. októbra 2024 o prípadoch nespravodlivo uväznených Ujgurov v Číne, najmä Ilhama Tohtiho a Gulshan Abbasovej(2024/2857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1E0EB-9E8E-4E11-AA37-6B209CE7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6494A-C662-4D1A-A000-AAEC5703E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2024-10-10T12:39:00Z</dcterms:created>
  <dcterms:modified xsi:type="dcterms:W3CDTF">2024-10-10T12:39:00Z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B10-0101, 0115, 0116, 0117 a 0118/2024</vt:lpwstr>
  </property>
  <property fmtid="{D5CDD505-2E9C-101B-9397-08002B2CF9AE}" pid="4" name="&lt;Type&gt;">
    <vt:lpwstr>RR</vt:lpwstr>
  </property>
</Properties>
</file>