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3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072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804"/>
        <w:gridCol w:w="2268"/>
      </w:tblGrid>
      <w:tr w:rsidR="00751A4A" w:rsidRPr="001D1EA4" w14:paraId="2E516580" w14:textId="77777777" w:rsidTr="0010095E">
        <w:trPr>
          <w:trHeight w:hRule="exact" w:val="1418"/>
        </w:trPr>
        <w:tc>
          <w:tcPr>
            <w:tcW w:w="6804" w:type="dxa"/>
            <w:shd w:val="clear" w:color="auto" w:fill="auto"/>
            <w:vAlign w:val="center"/>
          </w:tcPr>
          <w:p w14:paraId="11F850B8" w14:textId="77777777" w:rsidR="00751A4A" w:rsidRPr="001D1EA4" w:rsidRDefault="00DF1E47" w:rsidP="0010095E">
            <w:pPr>
              <w:pStyle w:val="EPName"/>
            </w:pPr>
            <w:bookmarkStart w:id="0" w:name="_GoBack"/>
            <w:bookmarkEnd w:id="0"/>
            <w:r w:rsidRPr="001D1EA4">
              <w:t>Evropský parlament</w:t>
            </w:r>
          </w:p>
          <w:p w14:paraId="7E3D4F59" w14:textId="77777777" w:rsidR="00751A4A" w:rsidRPr="001D1EA4" w:rsidRDefault="005F1B17" w:rsidP="005F1B17">
            <w:pPr>
              <w:pStyle w:val="EPTerm"/>
              <w:rPr>
                <w:rStyle w:val="HideTWBExt"/>
                <w:noProof w:val="0"/>
                <w:vanish w:val="0"/>
                <w:color w:val="auto"/>
              </w:rPr>
            </w:pPr>
            <w:r w:rsidRPr="001D1EA4">
              <w:t>2024</w:t>
            </w:r>
            <w:r w:rsidR="00817416" w:rsidRPr="001D1EA4">
              <w:t>-202</w:t>
            </w:r>
            <w:r w:rsidRPr="001D1EA4">
              <w:t>9</w:t>
            </w:r>
          </w:p>
        </w:tc>
        <w:tc>
          <w:tcPr>
            <w:tcW w:w="2268" w:type="dxa"/>
            <w:shd w:val="clear" w:color="auto" w:fill="auto"/>
          </w:tcPr>
          <w:p w14:paraId="111A057E" w14:textId="77777777" w:rsidR="00751A4A" w:rsidRPr="001D1EA4" w:rsidRDefault="00187494" w:rsidP="0010095E">
            <w:pPr>
              <w:pStyle w:val="EPLogo"/>
            </w:pPr>
            <w:r w:rsidRPr="001D1EA4">
              <w:rPr>
                <w:noProof/>
                <w:lang w:val="en-GB"/>
              </w:rPr>
              <w:drawing>
                <wp:inline distT="0" distB="0" distL="0" distR="0" wp14:anchorId="1A1024C5" wp14:editId="785F568F">
                  <wp:extent cx="1158875" cy="652145"/>
                  <wp:effectExtent l="0" t="0" r="0" b="0"/>
                  <wp:docPr id="1" name="Picture 1" descr="EP logo RGB_Mut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EP logo RGB_Mut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6521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3AFB838" w14:textId="77777777" w:rsidR="00D058B8" w:rsidRPr="001D1EA4" w:rsidRDefault="00D058B8" w:rsidP="004C5D52">
      <w:pPr>
        <w:pStyle w:val="LineTop"/>
      </w:pPr>
    </w:p>
    <w:p w14:paraId="073AF239" w14:textId="77777777" w:rsidR="00680577" w:rsidRPr="001D1EA4" w:rsidRDefault="00DF1E47" w:rsidP="00680577">
      <w:pPr>
        <w:pStyle w:val="EPBodyTA1"/>
      </w:pPr>
      <w:r w:rsidRPr="001D1EA4">
        <w:t>PŘIJATÉ TEXTY</w:t>
      </w:r>
    </w:p>
    <w:p w14:paraId="7B6B18D2" w14:textId="77777777" w:rsidR="00D058B8" w:rsidRPr="001D1EA4" w:rsidRDefault="00D058B8" w:rsidP="00D058B8">
      <w:pPr>
        <w:pStyle w:val="LineBottom"/>
      </w:pPr>
    </w:p>
    <w:p w14:paraId="56A41F42" w14:textId="07A7E9D4" w:rsidR="00DF1E47" w:rsidRPr="001D1EA4" w:rsidRDefault="00DF1E47" w:rsidP="00DF1E47">
      <w:pPr>
        <w:pStyle w:val="ATHeading1"/>
      </w:pPr>
      <w:bookmarkStart w:id="1" w:name="TANumber"/>
      <w:r w:rsidRPr="001D1EA4">
        <w:t>P10_TA(2024)00</w:t>
      </w:r>
      <w:r w:rsidR="00A562F4" w:rsidRPr="001D1EA4">
        <w:t>22</w:t>
      </w:r>
      <w:bookmarkEnd w:id="1"/>
    </w:p>
    <w:p w14:paraId="71500143" w14:textId="2ED18266" w:rsidR="00DF1E47" w:rsidRPr="001D1EA4" w:rsidRDefault="00DF1E47" w:rsidP="00DF1E47">
      <w:pPr>
        <w:pStyle w:val="ATHeading2"/>
      </w:pPr>
      <w:bookmarkStart w:id="2" w:name="title"/>
      <w:r w:rsidRPr="001D1EA4">
        <w:t>Provádění jednotného evropského nebe (přepracované znění)</w:t>
      </w:r>
      <w:bookmarkEnd w:id="2"/>
    </w:p>
    <w:p w14:paraId="254D62D3" w14:textId="77777777" w:rsidR="00DF1E47" w:rsidRPr="001D1EA4" w:rsidRDefault="00DF1E47" w:rsidP="00DF1E47">
      <w:pPr>
        <w:rPr>
          <w:i/>
          <w:vanish/>
        </w:rPr>
      </w:pPr>
      <w:r w:rsidRPr="001D1EA4">
        <w:rPr>
          <w:i/>
        </w:rPr>
        <w:fldChar w:fldCharType="begin"/>
      </w:r>
      <w:r w:rsidRPr="001D1EA4">
        <w:rPr>
          <w:i/>
        </w:rPr>
        <w:instrText xml:space="preserve"> TC"(</w:instrText>
      </w:r>
      <w:bookmarkStart w:id="3" w:name="DocNumber"/>
      <w:r w:rsidRPr="001D1EA4">
        <w:rPr>
          <w:i/>
        </w:rPr>
        <w:instrText>A10-0010/2024</w:instrText>
      </w:r>
      <w:bookmarkEnd w:id="3"/>
      <w:r w:rsidRPr="001D1EA4">
        <w:rPr>
          <w:i/>
        </w:rPr>
        <w:instrText xml:space="preserve"> - Zpravodajové: </w:instrText>
      </w:r>
      <w:proofErr w:type="spellStart"/>
      <w:r w:rsidRPr="001D1EA4">
        <w:rPr>
          <w:i/>
        </w:rPr>
        <w:instrText>Jens</w:instrText>
      </w:r>
      <w:proofErr w:type="spellEnd"/>
      <w:r w:rsidRPr="001D1EA4">
        <w:rPr>
          <w:i/>
        </w:rPr>
        <w:instrText xml:space="preserve"> </w:instrText>
      </w:r>
      <w:proofErr w:type="spellStart"/>
      <w:r w:rsidRPr="001D1EA4">
        <w:rPr>
          <w:i/>
        </w:rPr>
        <w:instrText>Gieseke</w:instrText>
      </w:r>
      <w:proofErr w:type="spellEnd"/>
      <w:r w:rsidRPr="001D1EA4">
        <w:rPr>
          <w:i/>
        </w:rPr>
        <w:instrText xml:space="preserve">, Johan </w:instrText>
      </w:r>
      <w:proofErr w:type="spellStart"/>
      <w:r w:rsidRPr="001D1EA4">
        <w:rPr>
          <w:i/>
        </w:rPr>
        <w:instrText>Danielsson</w:instrText>
      </w:r>
      <w:proofErr w:type="spellEnd"/>
      <w:r w:rsidRPr="001D1EA4">
        <w:rPr>
          <w:i/>
        </w:rPr>
        <w:instrText xml:space="preserve">)"\l3 \n&gt; \* MERGEFORMAT </w:instrText>
      </w:r>
      <w:r w:rsidRPr="001D1EA4">
        <w:rPr>
          <w:i/>
        </w:rPr>
        <w:fldChar w:fldCharType="end"/>
      </w:r>
    </w:p>
    <w:p w14:paraId="24D4F951" w14:textId="77777777" w:rsidR="00DF1E47" w:rsidRPr="001D1EA4" w:rsidRDefault="00DF1E47" w:rsidP="00DF1E47">
      <w:pPr>
        <w:rPr>
          <w:vanish/>
        </w:rPr>
      </w:pPr>
      <w:bookmarkStart w:id="4" w:name="Commission"/>
      <w:r w:rsidRPr="001D1EA4">
        <w:rPr>
          <w:vanish/>
        </w:rPr>
        <w:t>Výbor pro dopravu a cestovní ruch</w:t>
      </w:r>
      <w:bookmarkEnd w:id="4"/>
    </w:p>
    <w:p w14:paraId="196D68E7" w14:textId="77777777" w:rsidR="00DF1E47" w:rsidRPr="001D1EA4" w:rsidRDefault="00DF1E47" w:rsidP="00DF1E47">
      <w:pPr>
        <w:rPr>
          <w:vanish/>
        </w:rPr>
      </w:pPr>
      <w:bookmarkStart w:id="5" w:name="PE"/>
      <w:r w:rsidRPr="001D1EA4">
        <w:rPr>
          <w:vanish/>
        </w:rPr>
        <w:t>PE765.057</w:t>
      </w:r>
      <w:bookmarkEnd w:id="5"/>
    </w:p>
    <w:p w14:paraId="155E1C8B" w14:textId="77777777" w:rsidR="00FB36EF" w:rsidRPr="001D1EA4" w:rsidRDefault="00DF1E47" w:rsidP="00A4110B">
      <w:pPr>
        <w:pStyle w:val="ATHeading3"/>
      </w:pPr>
      <w:bookmarkStart w:id="6" w:name="Sujet"/>
      <w:r w:rsidRPr="001D1EA4">
        <w:t>Legislativní usnesení Evropského parlamentu ze dne 22. října 2024 k postoji Rady v prvním čtení k přijetí nařízení Evropského parlamentu a Rady o provádění jednotného evropského nebe (přepracované znění)</w:t>
      </w:r>
      <w:bookmarkEnd w:id="6"/>
      <w:r w:rsidRPr="001D1EA4">
        <w:t xml:space="preserve"> </w:t>
      </w:r>
      <w:bookmarkStart w:id="7" w:name="References"/>
      <w:r w:rsidRPr="001D1EA4">
        <w:t>(08311/2024 – C10-0114/2024 – 2013/0186(COD))</w:t>
      </w:r>
      <w:bookmarkEnd w:id="7"/>
    </w:p>
    <w:p w14:paraId="5679C3EE" w14:textId="77777777" w:rsidR="00FB36EF" w:rsidRPr="001D1EA4" w:rsidRDefault="00FB36EF" w:rsidP="00FB36EF">
      <w:pPr>
        <w:pStyle w:val="NormalBold"/>
      </w:pPr>
      <w:r w:rsidRPr="001D1EA4">
        <w:t>(Řádný legislativní postup: druhé čtení)</w:t>
      </w:r>
    </w:p>
    <w:p w14:paraId="185E6D96" w14:textId="77777777" w:rsidR="00D84A39" w:rsidRPr="001D1EA4" w:rsidRDefault="00D84A39" w:rsidP="00D84A39">
      <w:pPr>
        <w:pStyle w:val="EPComma"/>
      </w:pPr>
      <w:bookmarkStart w:id="8" w:name="TextBodyBegin"/>
      <w:bookmarkEnd w:id="8"/>
      <w:r w:rsidRPr="001D1EA4">
        <w:rPr>
          <w:i/>
        </w:rPr>
        <w:t>Evropský parlament</w:t>
      </w:r>
      <w:r w:rsidRPr="001D1EA4">
        <w:t>,</w:t>
      </w:r>
    </w:p>
    <w:p w14:paraId="799ECB16" w14:textId="77777777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 ohledem na postoj Rady v prvním čtení (08311/2024 – C10</w:t>
      </w:r>
      <w:r w:rsidRPr="001D1EA4">
        <w:noBreakHyphen/>
        <w:t>0114/2024),</w:t>
      </w:r>
    </w:p>
    <w:p w14:paraId="5BE202A7" w14:textId="77777777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 ohledem na svůj postoj v prvním čtení</w:t>
      </w:r>
      <w:r w:rsidRPr="001D1EA4">
        <w:rPr>
          <w:rStyle w:val="FootnoteReference"/>
        </w:rPr>
        <w:footnoteReference w:id="1"/>
      </w:r>
      <w:r w:rsidRPr="001D1EA4">
        <w:t xml:space="preserve"> k návrhu Komise Evropskému parlamentu a Radě (</w:t>
      </w:r>
      <w:proofErr w:type="gramStart"/>
      <w:r w:rsidRPr="001D1EA4">
        <w:t>COM(2013</w:t>
      </w:r>
      <w:proofErr w:type="gramEnd"/>
      <w:r w:rsidRPr="001D1EA4">
        <w:t>)0410),</w:t>
      </w:r>
    </w:p>
    <w:p w14:paraId="088C9DA8" w14:textId="5A59F732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 ohledem na pozměněný návrh Komise (</w:t>
      </w:r>
      <w:proofErr w:type="gramStart"/>
      <w:r w:rsidRPr="001D1EA4">
        <w:t>COM(2020</w:t>
      </w:r>
      <w:proofErr w:type="gramEnd"/>
      <w:r w:rsidRPr="001D1EA4">
        <w:t>)0579),</w:t>
      </w:r>
    </w:p>
    <w:p w14:paraId="1588F978" w14:textId="77777777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 ohledem na návrh Komise předložený Parlamentu a Radě (</w:t>
      </w:r>
      <w:proofErr w:type="gramStart"/>
      <w:r w:rsidRPr="001D1EA4">
        <w:t>COM(2020</w:t>
      </w:r>
      <w:proofErr w:type="gramEnd"/>
      <w:r w:rsidRPr="001D1EA4">
        <w:t>)0577 – 2020/0264(COD)),</w:t>
      </w:r>
    </w:p>
    <w:p w14:paraId="42D7365A" w14:textId="77777777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 ohledem na čl. 294 odst. 7 Smlouvy o fungování Evropské unie,</w:t>
      </w:r>
    </w:p>
    <w:p w14:paraId="554CF8A8" w14:textId="77777777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 ohledem na článek 68 jednacího řádu,</w:t>
      </w:r>
    </w:p>
    <w:p w14:paraId="04EC1655" w14:textId="77777777" w:rsidR="00D84A39" w:rsidRPr="001D1EA4" w:rsidRDefault="00D84A39" w:rsidP="00D84A39">
      <w:pPr>
        <w:pStyle w:val="NormalHanging12a"/>
      </w:pPr>
      <w:r w:rsidRPr="001D1EA4">
        <w:t>–</w:t>
      </w:r>
      <w:r w:rsidRPr="001D1EA4">
        <w:tab/>
        <w:t>s ohledem na doporučení pro druhé čtení dané Výborem pro dopravu a cestovní ruch (A10</w:t>
      </w:r>
      <w:r w:rsidRPr="001D1EA4">
        <w:noBreakHyphen/>
        <w:t>0010/2024),</w:t>
      </w:r>
    </w:p>
    <w:p w14:paraId="7021716D" w14:textId="77777777" w:rsidR="00D84A39" w:rsidRPr="001D1EA4" w:rsidRDefault="00D84A39" w:rsidP="00D84A39">
      <w:pPr>
        <w:pStyle w:val="NormalHanging12a"/>
      </w:pPr>
      <w:r w:rsidRPr="001D1EA4">
        <w:t>1.</w:t>
      </w:r>
      <w:r w:rsidRPr="001D1EA4">
        <w:tab/>
        <w:t>schvaluje postoj Rady v prvním čtení;</w:t>
      </w:r>
    </w:p>
    <w:p w14:paraId="4E09456D" w14:textId="7B7AA3B4" w:rsidR="00D84A39" w:rsidRPr="001D1EA4" w:rsidRDefault="00D84A39" w:rsidP="00D84A39">
      <w:pPr>
        <w:pStyle w:val="NormalHanging12a"/>
      </w:pPr>
      <w:r w:rsidRPr="001D1EA4">
        <w:t>2.</w:t>
      </w:r>
      <w:r w:rsidRPr="001D1EA4">
        <w:tab/>
        <w:t xml:space="preserve">domnívá se, že legislativní postup 2020/0264(COD) zanikl v důsledku začlenění obsahu návrhu Komise </w:t>
      </w:r>
      <w:proofErr w:type="gramStart"/>
      <w:r w:rsidRPr="001D1EA4">
        <w:t>COM(2020</w:t>
      </w:r>
      <w:proofErr w:type="gramEnd"/>
      <w:r w:rsidRPr="001D1EA4">
        <w:t>)0577 do tohoto postoje;</w:t>
      </w:r>
    </w:p>
    <w:p w14:paraId="54B956EA" w14:textId="1AA18DA6" w:rsidR="00D84A39" w:rsidRPr="001D1EA4" w:rsidRDefault="00D84A39" w:rsidP="00D84A39">
      <w:pPr>
        <w:pStyle w:val="NormalHanging12a"/>
      </w:pPr>
      <w:r w:rsidRPr="001D1EA4">
        <w:t>3.</w:t>
      </w:r>
      <w:r w:rsidRPr="001D1EA4">
        <w:tab/>
        <w:t xml:space="preserve">schvaluje společné prohlášení Parlamentu a Rady, </w:t>
      </w:r>
      <w:r w:rsidR="000C3F85" w:rsidRPr="001D1EA4">
        <w:t>které</w:t>
      </w:r>
      <w:r w:rsidRPr="001D1EA4">
        <w:t xml:space="preserve"> je přílohou tohoto usnesení;</w:t>
      </w:r>
    </w:p>
    <w:p w14:paraId="6548338F" w14:textId="77777777" w:rsidR="00D84A39" w:rsidRPr="001D1EA4" w:rsidRDefault="00D84A39" w:rsidP="00D84A39">
      <w:pPr>
        <w:pStyle w:val="NormalHanging12a"/>
      </w:pPr>
      <w:r w:rsidRPr="001D1EA4">
        <w:t>4.</w:t>
      </w:r>
      <w:r w:rsidRPr="001D1EA4">
        <w:tab/>
        <w:t>konstatuje, že akt je přijat v souladu s příslušným postojem Rady;</w:t>
      </w:r>
    </w:p>
    <w:p w14:paraId="1DEEEC03" w14:textId="77777777" w:rsidR="00D84A39" w:rsidRPr="001D1EA4" w:rsidRDefault="00D84A39" w:rsidP="00D84A39">
      <w:pPr>
        <w:pStyle w:val="NormalHanging12a"/>
      </w:pPr>
      <w:r w:rsidRPr="001D1EA4">
        <w:lastRenderedPageBreak/>
        <w:t>5.</w:t>
      </w:r>
      <w:r w:rsidRPr="001D1EA4">
        <w:tab/>
        <w:t>pověřuje svou předsedkyni, aby společně s předsedou Rady podepsala akt podle čl. 297 odst. 1 Smlouvy o fungování Evropské unie;</w:t>
      </w:r>
    </w:p>
    <w:p w14:paraId="71E0FA9D" w14:textId="77777777" w:rsidR="00D84A39" w:rsidRPr="001D1EA4" w:rsidRDefault="00D84A39" w:rsidP="00D84A39">
      <w:pPr>
        <w:pStyle w:val="NormalHanging12a"/>
      </w:pPr>
      <w:r w:rsidRPr="001D1EA4">
        <w:t>6.</w:t>
      </w:r>
      <w:r w:rsidRPr="001D1EA4">
        <w:tab/>
        <w:t>pověřuje svého generálního tajemníka, aby akt podepsal poté, co ověří, že všechny postupy byly řádně ukončeny, a aby společně s generálním tajemníkem Rady zajistil jeho zveřejnění v </w:t>
      </w:r>
      <w:r w:rsidRPr="001D1EA4">
        <w:rPr>
          <w:i/>
          <w:iCs/>
        </w:rPr>
        <w:t>Úředním věstníku Evropské unie</w:t>
      </w:r>
      <w:r w:rsidRPr="001D1EA4">
        <w:t>;</w:t>
      </w:r>
    </w:p>
    <w:p w14:paraId="5EFB5CD5" w14:textId="42C3DEC3" w:rsidR="00D84A39" w:rsidRPr="001D1EA4" w:rsidRDefault="00D84A39" w:rsidP="00D84A39">
      <w:pPr>
        <w:pStyle w:val="NormalHanging12a"/>
      </w:pPr>
      <w:r w:rsidRPr="001D1EA4">
        <w:t>7.</w:t>
      </w:r>
      <w:r w:rsidRPr="001D1EA4">
        <w:tab/>
        <w:t>pověřuje svou předsedkyni, aby předala postoj Parlamentu Radě</w:t>
      </w:r>
      <w:r w:rsidR="00F3151E" w:rsidRPr="001D1EA4">
        <w:t xml:space="preserve"> a</w:t>
      </w:r>
      <w:r w:rsidRPr="001D1EA4">
        <w:t xml:space="preserve"> Komisi, jakož i vnitrostátním parlamentům.</w:t>
      </w:r>
    </w:p>
    <w:p w14:paraId="6C2544B2" w14:textId="77777777" w:rsidR="00D84A39" w:rsidRPr="001D1EA4" w:rsidRDefault="00D84A39" w:rsidP="00D84A39">
      <w:pPr>
        <w:pStyle w:val="PageHeading"/>
        <w:jc w:val="left"/>
        <w:sectPr w:rsidR="00D84A39" w:rsidRPr="001D1EA4" w:rsidSect="00CC113A">
          <w:footerReference w:type="even" r:id="rId9"/>
          <w:footerReference w:type="first" r:id="rId10"/>
          <w:footnotePr>
            <w:numRestart w:val="eachPage"/>
          </w:footnotePr>
          <w:endnotePr>
            <w:numFmt w:val="decimal"/>
          </w:endnotePr>
          <w:pgSz w:w="11906" w:h="16838" w:code="9"/>
          <w:pgMar w:top="1134" w:right="1418" w:bottom="1418" w:left="1418" w:header="1134" w:footer="567" w:gutter="0"/>
          <w:cols w:space="720"/>
          <w:noEndnote/>
          <w:docGrid w:linePitch="326"/>
        </w:sectPr>
      </w:pPr>
    </w:p>
    <w:p w14:paraId="6CC96163" w14:textId="77777777" w:rsidR="00D84A39" w:rsidRPr="001D1EA4" w:rsidRDefault="00D84A39" w:rsidP="004462FA">
      <w:pPr>
        <w:pStyle w:val="PageHeading"/>
        <w:jc w:val="right"/>
        <w:rPr>
          <w:rFonts w:ascii="Times New Roman" w:hAnsi="Times New Roman" w:cs="Times New Roman"/>
          <w:b w:val="0"/>
        </w:rPr>
      </w:pPr>
      <w:bookmarkStart w:id="9" w:name="_Toc180347620"/>
      <w:r w:rsidRPr="001D1EA4">
        <w:rPr>
          <w:rFonts w:ascii="Times New Roman" w:hAnsi="Times New Roman" w:cs="Times New Roman"/>
          <w:b w:val="0"/>
        </w:rPr>
        <w:lastRenderedPageBreak/>
        <w:t>PŘÍLOHA K LEGISLATIVNÍMU USNESENÍ</w:t>
      </w:r>
      <w:bookmarkEnd w:id="9"/>
    </w:p>
    <w:p w14:paraId="04AA1592" w14:textId="77777777" w:rsidR="00D84A39" w:rsidRPr="001D1EA4" w:rsidRDefault="00D84A39" w:rsidP="00D84A39">
      <w:pPr>
        <w:pStyle w:val="PageHeading"/>
        <w:rPr>
          <w:rFonts w:ascii="Times New Roman" w:hAnsi="Times New Roman" w:cs="Times New Roman"/>
        </w:rPr>
      </w:pPr>
      <w:bookmarkStart w:id="10" w:name="_Toc180347621"/>
      <w:r w:rsidRPr="001D1EA4">
        <w:rPr>
          <w:rFonts w:ascii="Times New Roman" w:hAnsi="Times New Roman" w:cs="Times New Roman"/>
        </w:rPr>
        <w:t>SPOLEČNÉ PROHLÁŠENÍ EVROPSKÉHO PARLAMENTU A RADY EVROPSKÉ UNIE</w:t>
      </w:r>
      <w:bookmarkEnd w:id="10"/>
    </w:p>
    <w:p w14:paraId="0C0A263C" w14:textId="77777777" w:rsidR="00D84A39" w:rsidRPr="001D1EA4" w:rsidRDefault="00D84A39" w:rsidP="004462FA">
      <w:pPr>
        <w:spacing w:after="240"/>
      </w:pPr>
      <w:r w:rsidRPr="001D1EA4">
        <w:t>Aniž jsou dotčeny výsady rozpočtového orgánu v rámci ročního rozpočtového procesu a pravomoci Komise k vypracování návrhu rozpočtu, Evropský parlament a Rada vyzývají Komisi, aby v rámci ročního rozpočtového procesu navrhla vytvoření dodatečné rozpočtové položky správní podpory v rámci Nástroje pro propojení Evropy (CEF) financované z dostupných prostředků tohoto nástroje, jak je uvedeno v legislativním finančním výkazu poskytnutém Komisí. Tato nová rozpočtová položka by pokrývala náklady na smluvní zaměstnance a další správní výdaje sekretariátu výboru pro kontrolu výkonnosti, výboru pro kontrolu výkonnosti a rady pro spolupráci vnitrostátních dozorových orgánů, jako jsou technická pomoc, náklady na odborníky, smlouvy o poskytování dat, externí studie a na další poradenské služby, zatímco pracovní místa podle plánu pracovních míst budou financována ze správní rozpočtové položky v okruhu 7, při plném dodržování stávajícího nařízení o víceletém finančním rámci. Tímto financováním v rámci nástroje CEF by pokud možno neměly být dotčeny finanční prostředky, které již byly vyčleněny v posledním pracovním programu nástroje CEF v oblasti dopravy.</w:t>
      </w:r>
    </w:p>
    <w:p w14:paraId="7C697501" w14:textId="77777777" w:rsidR="00D84A39" w:rsidRPr="001D1EA4" w:rsidRDefault="00D84A39" w:rsidP="004462FA">
      <w:pPr>
        <w:spacing w:after="240"/>
      </w:pPr>
      <w:r w:rsidRPr="001D1EA4">
        <w:t>Financování smluvních zaměstnanců a dalších správních výdajů sekretariátu výboru pro kontrolu výkonnosti, výboru pro kontrolu výkonnosti a rady pro spolupráci vnitrostátních dozorových orgánů v rámci nástroje CEF by nemělo představovat precedent pro financování sekretariátu jiných orgánů. Nemělo by žádným způsobem předjímat finanční ujednání, která mají být dohodnuta v rámci nařízení o příštím víceletém finančním rámci.</w:t>
      </w:r>
    </w:p>
    <w:p w14:paraId="74BAA3D1" w14:textId="77777777" w:rsidR="00E365E1" w:rsidRPr="001D1EA4" w:rsidRDefault="00E365E1" w:rsidP="00DF1E47">
      <w:bookmarkStart w:id="11" w:name="TextBodyEnd"/>
      <w:bookmarkEnd w:id="11"/>
    </w:p>
    <w:sectPr w:rsidR="00E365E1" w:rsidRPr="001D1EA4" w:rsidSect="00CC113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footnotePr>
        <w:numRestart w:val="eachPage"/>
      </w:footnotePr>
      <w:endnotePr>
        <w:numFmt w:val="decimal"/>
      </w:endnotePr>
      <w:pgSz w:w="11906" w:h="16838" w:code="9"/>
      <w:pgMar w:top="1134" w:right="1418" w:bottom="1418" w:left="1418" w:header="1134" w:footer="567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851F454" w14:textId="77777777" w:rsidR="00DF1E47" w:rsidRPr="00CC113A" w:rsidRDefault="00DF1E47">
      <w:r w:rsidRPr="00CC113A">
        <w:separator/>
      </w:r>
    </w:p>
  </w:endnote>
  <w:endnote w:type="continuationSeparator" w:id="0">
    <w:p w14:paraId="11A53F84" w14:textId="77777777" w:rsidR="00DF1E47" w:rsidRPr="00CC113A" w:rsidRDefault="00DF1E47">
      <w:r w:rsidRPr="00CC113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okChampa">
    <w:altName w:val="Leelawadee UI"/>
    <w:charset w:val="00"/>
    <w:family w:val="swiss"/>
    <w:pitch w:val="variable"/>
    <w:sig w:usb0="03000003" w:usb1="00000000" w:usb2="00000000" w:usb3="00000000" w:csb0="00010001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3A9D0EB" w14:textId="77777777" w:rsidR="00D84A39" w:rsidRPr="00CC113A" w:rsidRDefault="00D84A39" w:rsidP="00C23A3F">
    <w:pPr>
      <w:pStyle w:val="EPFooter"/>
    </w:pPr>
    <w:r w:rsidRPr="00CC113A">
      <w:t>PE</w:t>
    </w:r>
    <w:r w:rsidRPr="00CC113A">
      <w:rPr>
        <w:rStyle w:val="HideTWBExt"/>
      </w:rPr>
      <w:t>&lt;</w:t>
    </w:r>
    <w:proofErr w:type="spellStart"/>
    <w:r w:rsidRPr="00CC113A">
      <w:rPr>
        <w:rStyle w:val="HideTWBExt"/>
      </w:rPr>
      <w:t>NoPE</w:t>
    </w:r>
    <w:proofErr w:type="spellEnd"/>
    <w:r w:rsidRPr="00CC113A">
      <w:rPr>
        <w:rStyle w:val="HideTWBExt"/>
      </w:rPr>
      <w:t>&gt;</w:t>
    </w:r>
    <w:r w:rsidRPr="00CC113A">
      <w:t>765.057</w:t>
    </w:r>
    <w:r w:rsidRPr="00CC113A">
      <w:rPr>
        <w:rStyle w:val="HideTWBExt"/>
      </w:rPr>
      <w:t>&lt;/</w:t>
    </w:r>
    <w:proofErr w:type="spellStart"/>
    <w:r w:rsidRPr="00CC113A">
      <w:rPr>
        <w:rStyle w:val="HideTWBExt"/>
      </w:rPr>
      <w:t>NoPE</w:t>
    </w:r>
    <w:proofErr w:type="spellEnd"/>
    <w:r w:rsidRPr="00CC113A">
      <w:rPr>
        <w:rStyle w:val="HideTWBExt"/>
      </w:rPr>
      <w:t>&gt;&lt;Version&gt;</w:t>
    </w:r>
    <w:r w:rsidRPr="00CC113A">
      <w:t>v02-00</w:t>
    </w:r>
    <w:r w:rsidRPr="00CC113A">
      <w:rPr>
        <w:rStyle w:val="HideTWBExt"/>
      </w:rPr>
      <w:t>&lt;/</w:t>
    </w:r>
    <w:proofErr w:type="spellStart"/>
    <w:r w:rsidRPr="00CC113A">
      <w:rPr>
        <w:rStyle w:val="HideTWBExt"/>
      </w:rPr>
      <w:t>Version</w:t>
    </w:r>
    <w:proofErr w:type="spellEnd"/>
    <w:r w:rsidRPr="00CC113A">
      <w:rPr>
        <w:rStyle w:val="HideTWBExt"/>
      </w:rPr>
      <w:t>&gt;</w:t>
    </w:r>
    <w:r w:rsidRPr="00CC113A">
      <w:tab/>
    </w:r>
    <w:r w:rsidRPr="00CC113A">
      <w:fldChar w:fldCharType="begin"/>
    </w:r>
    <w:r w:rsidRPr="00CC113A">
      <w:instrText xml:space="preserve"> PAGE  \* MERGEFORMAT </w:instrText>
    </w:r>
    <w:r w:rsidRPr="00CC113A">
      <w:fldChar w:fldCharType="separate"/>
    </w:r>
    <w:r w:rsidR="00CC113A" w:rsidRPr="00CC113A">
      <w:rPr>
        <w:noProof/>
      </w:rPr>
      <w:t>2</w:t>
    </w:r>
    <w:r w:rsidRPr="00CC113A">
      <w:fldChar w:fldCharType="end"/>
    </w:r>
    <w:r w:rsidRPr="00CC113A">
      <w:t>/</w:t>
    </w:r>
    <w:fldSimple w:instr=" NUMPAGES  \* MERGEFORMAT ">
      <w:r w:rsidR="00CC113A" w:rsidRPr="00CC113A">
        <w:rPr>
          <w:noProof/>
        </w:rPr>
        <w:t>4</w:t>
      </w:r>
    </w:fldSimple>
    <w:r w:rsidRPr="00CC113A">
      <w:tab/>
    </w:r>
    <w:r w:rsidRPr="00CC113A">
      <w:rPr>
        <w:rStyle w:val="HideTWBExt"/>
      </w:rPr>
      <w:t>&lt;PathFdR&gt;</w:t>
    </w:r>
    <w:r w:rsidRPr="00CC113A">
      <w:t>RR\1308713CS.docx</w:t>
    </w:r>
    <w:r w:rsidRPr="00CC113A">
      <w:rPr>
        <w:rStyle w:val="HideTWBExt"/>
      </w:rPr>
      <w:t>&lt;/</w:t>
    </w:r>
    <w:proofErr w:type="spellStart"/>
    <w:r w:rsidRPr="00CC113A">
      <w:rPr>
        <w:rStyle w:val="HideTWBExt"/>
      </w:rPr>
      <w:t>PathFdR</w:t>
    </w:r>
    <w:proofErr w:type="spellEnd"/>
    <w:r w:rsidRPr="00CC113A">
      <w:rPr>
        <w:rStyle w:val="HideTWBExt"/>
      </w:rPr>
      <w:t>&gt;</w:t>
    </w:r>
  </w:p>
  <w:p w14:paraId="44C096F2" w14:textId="77777777" w:rsidR="00D84A39" w:rsidRPr="00CC113A" w:rsidRDefault="00D84A39" w:rsidP="00C23A3F">
    <w:pPr>
      <w:pStyle w:val="EPFooter2"/>
    </w:pPr>
    <w:r w:rsidRPr="00CC113A">
      <w:t>CS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9B35340" w14:textId="77777777" w:rsidR="00D84A39" w:rsidRPr="00CC113A" w:rsidRDefault="00D84A39" w:rsidP="00C23A3F">
    <w:pPr>
      <w:pStyle w:val="EPFooter"/>
    </w:pPr>
    <w:r w:rsidRPr="00CC113A">
      <w:rPr>
        <w:rStyle w:val="HideTWBExt"/>
      </w:rPr>
      <w:t>&lt;PathFdR&gt;</w:t>
    </w:r>
    <w:r w:rsidRPr="00CC113A">
      <w:t>RR\1308713CS.docx</w:t>
    </w:r>
    <w:r w:rsidRPr="00CC113A">
      <w:rPr>
        <w:rStyle w:val="HideTWBExt"/>
      </w:rPr>
      <w:t>&lt;/</w:t>
    </w:r>
    <w:proofErr w:type="spellStart"/>
    <w:r w:rsidRPr="00CC113A">
      <w:rPr>
        <w:rStyle w:val="HideTWBExt"/>
      </w:rPr>
      <w:t>PathFdR</w:t>
    </w:r>
    <w:proofErr w:type="spellEnd"/>
    <w:r w:rsidRPr="00CC113A">
      <w:rPr>
        <w:rStyle w:val="HideTWBExt"/>
      </w:rPr>
      <w:t>&gt;</w:t>
    </w:r>
    <w:r w:rsidRPr="00CC113A">
      <w:tab/>
    </w:r>
    <w:r w:rsidRPr="00CC113A">
      <w:tab/>
      <w:t>PE</w:t>
    </w:r>
    <w:r w:rsidRPr="00CC113A">
      <w:rPr>
        <w:rStyle w:val="HideTWBExt"/>
      </w:rPr>
      <w:t>&lt;</w:t>
    </w:r>
    <w:proofErr w:type="spellStart"/>
    <w:r w:rsidRPr="00CC113A">
      <w:rPr>
        <w:rStyle w:val="HideTWBExt"/>
      </w:rPr>
      <w:t>NoPE</w:t>
    </w:r>
    <w:proofErr w:type="spellEnd"/>
    <w:r w:rsidRPr="00CC113A">
      <w:rPr>
        <w:rStyle w:val="HideTWBExt"/>
      </w:rPr>
      <w:t>&gt;</w:t>
    </w:r>
    <w:r w:rsidRPr="00CC113A">
      <w:t>765.057</w:t>
    </w:r>
    <w:r w:rsidRPr="00CC113A">
      <w:rPr>
        <w:rStyle w:val="HideTWBExt"/>
      </w:rPr>
      <w:t>&lt;/</w:t>
    </w:r>
    <w:proofErr w:type="spellStart"/>
    <w:r w:rsidRPr="00CC113A">
      <w:rPr>
        <w:rStyle w:val="HideTWBExt"/>
      </w:rPr>
      <w:t>NoPE</w:t>
    </w:r>
    <w:proofErr w:type="spellEnd"/>
    <w:r w:rsidRPr="00CC113A">
      <w:rPr>
        <w:rStyle w:val="HideTWBExt"/>
      </w:rPr>
      <w:t>&gt;&lt;Version&gt;</w:t>
    </w:r>
    <w:r w:rsidRPr="00CC113A">
      <w:t>v02-00</w:t>
    </w:r>
    <w:r w:rsidRPr="00CC113A">
      <w:rPr>
        <w:rStyle w:val="HideTWBExt"/>
      </w:rPr>
      <w:t>&lt;/</w:t>
    </w:r>
    <w:proofErr w:type="spellStart"/>
    <w:r w:rsidRPr="00CC113A">
      <w:rPr>
        <w:rStyle w:val="HideTWBExt"/>
      </w:rPr>
      <w:t>Version</w:t>
    </w:r>
    <w:proofErr w:type="spellEnd"/>
    <w:r w:rsidRPr="00CC113A">
      <w:rPr>
        <w:rStyle w:val="HideTWBExt"/>
      </w:rPr>
      <w:t>&gt;</w:t>
    </w:r>
  </w:p>
  <w:p w14:paraId="4F8DA5E0" w14:textId="77777777" w:rsidR="00D84A39" w:rsidRPr="00CC113A" w:rsidRDefault="00D84A39" w:rsidP="00C23A3F">
    <w:pPr>
      <w:pStyle w:val="EPFooter2"/>
    </w:pPr>
    <w:r w:rsidRPr="00CC113A">
      <w:t>CS</w:t>
    </w:r>
    <w:r w:rsidRPr="00CC113A">
      <w:tab/>
    </w:r>
    <w:r w:rsidRPr="00CC113A">
      <w:rPr>
        <w:b w:val="0"/>
        <w:i/>
        <w:color w:val="C0C0C0"/>
        <w:sz w:val="22"/>
      </w:rPr>
      <w:t>Jednotná v rozmanitosti</w:t>
    </w:r>
    <w:r w:rsidRPr="00CC113A">
      <w:tab/>
      <w:t>CS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16AEE9" w14:textId="77777777" w:rsidR="00064002" w:rsidRPr="00CC113A" w:rsidRDefault="00064002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2EFDB1" w14:textId="77777777" w:rsidR="00064002" w:rsidRPr="00CC113A" w:rsidRDefault="00064002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3B893F" w14:textId="77777777" w:rsidR="00064002" w:rsidRPr="00CC113A" w:rsidRDefault="00064002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981B14" w14:textId="77777777" w:rsidR="00DF1E47" w:rsidRPr="00CC113A" w:rsidRDefault="00DF1E47">
      <w:r w:rsidRPr="00CC113A">
        <w:separator/>
      </w:r>
    </w:p>
  </w:footnote>
  <w:footnote w:type="continuationSeparator" w:id="0">
    <w:p w14:paraId="3E883D7B" w14:textId="77777777" w:rsidR="00DF1E47" w:rsidRPr="00CC113A" w:rsidRDefault="00DF1E47">
      <w:r w:rsidRPr="00CC113A">
        <w:continuationSeparator/>
      </w:r>
    </w:p>
  </w:footnote>
  <w:footnote w:id="1">
    <w:p w14:paraId="27348828" w14:textId="76697C4D" w:rsidR="00D84A39" w:rsidRPr="00CC113A" w:rsidRDefault="00D84A39" w:rsidP="00CC113A">
      <w:pPr>
        <w:pStyle w:val="FootnoteText"/>
        <w:ind w:left="567" w:hanging="567"/>
        <w:rPr>
          <w:sz w:val="24"/>
          <w:lang w:val="cs-CZ"/>
        </w:rPr>
      </w:pPr>
      <w:r w:rsidRPr="00CC113A">
        <w:rPr>
          <w:rStyle w:val="FootnoteReference"/>
          <w:sz w:val="24"/>
          <w:lang w:val="cs-CZ"/>
        </w:rPr>
        <w:footnoteRef/>
      </w:r>
      <w:r w:rsidR="00CC113A" w:rsidRPr="00CC113A">
        <w:rPr>
          <w:sz w:val="24"/>
          <w:lang w:val="cs-CZ"/>
        </w:rPr>
        <w:t xml:space="preserve"> </w:t>
      </w:r>
      <w:r w:rsidR="00CC113A" w:rsidRPr="00CC113A">
        <w:rPr>
          <w:sz w:val="24"/>
          <w:lang w:val="cs-CZ"/>
        </w:rPr>
        <w:tab/>
      </w:r>
      <w:proofErr w:type="spellStart"/>
      <w:r w:rsidRPr="00CC113A">
        <w:rPr>
          <w:sz w:val="24"/>
          <w:lang w:val="cs-CZ"/>
        </w:rPr>
        <w:t>Úř</w:t>
      </w:r>
      <w:proofErr w:type="spellEnd"/>
      <w:r w:rsidRPr="00CC113A">
        <w:rPr>
          <w:sz w:val="24"/>
          <w:lang w:val="cs-CZ"/>
        </w:rPr>
        <w:t xml:space="preserve">. </w:t>
      </w:r>
      <w:proofErr w:type="spellStart"/>
      <w:proofErr w:type="gramStart"/>
      <w:r w:rsidRPr="00CC113A">
        <w:rPr>
          <w:sz w:val="24"/>
          <w:lang w:val="cs-CZ"/>
        </w:rPr>
        <w:t>věst</w:t>
      </w:r>
      <w:proofErr w:type="spellEnd"/>
      <w:proofErr w:type="gramEnd"/>
      <w:r w:rsidRPr="00CC113A">
        <w:rPr>
          <w:sz w:val="24"/>
          <w:lang w:val="cs-CZ"/>
        </w:rPr>
        <w:t xml:space="preserve">. C 378, </w:t>
      </w:r>
      <w:proofErr w:type="gramStart"/>
      <w:r w:rsidRPr="00CC113A">
        <w:rPr>
          <w:sz w:val="24"/>
          <w:lang w:val="cs-CZ"/>
        </w:rPr>
        <w:t>9.11.2017</w:t>
      </w:r>
      <w:proofErr w:type="gramEnd"/>
      <w:r w:rsidRPr="00CC113A">
        <w:rPr>
          <w:sz w:val="24"/>
          <w:lang w:val="cs-CZ"/>
        </w:rPr>
        <w:t>, s. 54</w:t>
      </w:r>
      <w:r w:rsidR="000C3F85">
        <w:rPr>
          <w:sz w:val="24"/>
          <w:lang w:val="cs-CZ"/>
        </w:rPr>
        <w:t>6</w:t>
      </w:r>
      <w:r w:rsidRPr="00CC113A">
        <w:rPr>
          <w:sz w:val="24"/>
          <w:lang w:val="cs-CZ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40F0DD2" w14:textId="77777777" w:rsidR="00064002" w:rsidRPr="00CC113A" w:rsidRDefault="00064002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198660" w14:textId="77777777" w:rsidR="00064002" w:rsidRPr="00CC113A" w:rsidRDefault="00064002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0A47A66" w14:textId="77777777" w:rsidR="00064002" w:rsidRPr="00CC113A" w:rsidRDefault="0006400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B22A8A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0C0EE6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BFB40F5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F525DA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9730919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026A28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CDC9AF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E120C2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92AAA7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B4278A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93C6E60"/>
    <w:multiLevelType w:val="multilevel"/>
    <w:tmpl w:val="BC64E5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pStyle w:val="Heading2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pStyle w:val="Heading3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pStyle w:val="Heading4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abstractNum w:abstractNumId="11" w15:restartNumberingAfterBreak="0">
    <w:nsid w:val="39692AE2"/>
    <w:multiLevelType w:val="multilevel"/>
    <w:tmpl w:val="975EA0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79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122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1728"/>
      </w:pPr>
    </w:lvl>
    <w:lvl w:ilvl="4">
      <w:start w:val="1"/>
      <w:numFmt w:val="decimal"/>
      <w:pStyle w:val="Heading5"/>
      <w:lvlText w:val="%1.%2.%3.%4.%5."/>
      <w:lvlJc w:val="left"/>
      <w:pPr>
        <w:tabs>
          <w:tab w:val="num" w:pos="2232"/>
        </w:tabs>
        <w:ind w:left="2232" w:hanging="223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27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324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374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4320"/>
      </w:pPr>
    </w:lvl>
  </w:abstractNum>
  <w:num w:numId="1">
    <w:abstractNumId w:val="9"/>
  </w:num>
  <w:num w:numId="2">
    <w:abstractNumId w:val="9"/>
  </w:num>
  <w:num w:numId="3">
    <w:abstractNumId w:val="7"/>
  </w:num>
  <w:num w:numId="4">
    <w:abstractNumId w:val="7"/>
  </w:num>
  <w:num w:numId="5">
    <w:abstractNumId w:val="6"/>
  </w:num>
  <w:num w:numId="6">
    <w:abstractNumId w:val="6"/>
  </w:num>
  <w:num w:numId="7">
    <w:abstractNumId w:val="5"/>
  </w:num>
  <w:num w:numId="8">
    <w:abstractNumId w:val="5"/>
  </w:num>
  <w:num w:numId="9">
    <w:abstractNumId w:val="4"/>
  </w:num>
  <w:num w:numId="10">
    <w:abstractNumId w:val="4"/>
  </w:num>
  <w:num w:numId="11">
    <w:abstractNumId w:val="8"/>
  </w:num>
  <w:num w:numId="12">
    <w:abstractNumId w:val="8"/>
  </w:num>
  <w:num w:numId="13">
    <w:abstractNumId w:val="3"/>
  </w:num>
  <w:num w:numId="14">
    <w:abstractNumId w:val="3"/>
  </w:num>
  <w:num w:numId="15">
    <w:abstractNumId w:val="2"/>
  </w:num>
  <w:num w:numId="16">
    <w:abstractNumId w:val="2"/>
  </w:num>
  <w:num w:numId="17">
    <w:abstractNumId w:val="1"/>
  </w:num>
  <w:num w:numId="18">
    <w:abstractNumId w:val="1"/>
  </w:num>
  <w:num w:numId="19">
    <w:abstractNumId w:val="0"/>
  </w:num>
  <w:num w:numId="20">
    <w:abstractNumId w:val="0"/>
  </w:num>
  <w:num w:numId="21">
    <w:abstractNumId w:val="9"/>
  </w:num>
  <w:num w:numId="22">
    <w:abstractNumId w:val="7"/>
  </w:num>
  <w:num w:numId="23">
    <w:abstractNumId w:val="6"/>
  </w:num>
  <w:num w:numId="24">
    <w:abstractNumId w:val="5"/>
  </w:num>
  <w:num w:numId="25">
    <w:abstractNumId w:val="4"/>
  </w:num>
  <w:num w:numId="26">
    <w:abstractNumId w:val="8"/>
  </w:num>
  <w:num w:numId="27">
    <w:abstractNumId w:val="3"/>
  </w:num>
  <w:num w:numId="28">
    <w:abstractNumId w:val="2"/>
  </w:num>
  <w:num w:numId="29">
    <w:abstractNumId w:val="1"/>
  </w:num>
  <w:num w:numId="30">
    <w:abstractNumId w:val="0"/>
  </w:num>
  <w:num w:numId="31">
    <w:abstractNumId w:val="9"/>
  </w:num>
  <w:num w:numId="32">
    <w:abstractNumId w:val="7"/>
  </w:num>
  <w:num w:numId="33">
    <w:abstractNumId w:val="6"/>
  </w:num>
  <w:num w:numId="34">
    <w:abstractNumId w:val="5"/>
  </w:num>
  <w:num w:numId="35">
    <w:abstractNumId w:val="4"/>
  </w:num>
  <w:num w:numId="36">
    <w:abstractNumId w:val="8"/>
  </w:num>
  <w:num w:numId="37">
    <w:abstractNumId w:val="3"/>
  </w:num>
  <w:num w:numId="38">
    <w:abstractNumId w:val="2"/>
  </w:num>
  <w:num w:numId="39">
    <w:abstractNumId w:val="1"/>
  </w:num>
  <w:num w:numId="40">
    <w:abstractNumId w:val="0"/>
  </w:num>
  <w:num w:numId="41">
    <w:abstractNumId w:val="10"/>
  </w:num>
  <w:num w:numId="42">
    <w:abstractNumId w:val="10"/>
  </w:num>
  <w:num w:numId="43">
    <w:abstractNumId w:val="10"/>
  </w:num>
  <w:num w:numId="4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oNotHyphenateCap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footnotePr>
    <w:numRestart w:val="eachPage"/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vdocse" w:val="A10-0010/2024"/>
    <w:docVar w:name="dvlangue" w:val="CS"/>
    <w:docVar w:name="dvnumam" w:val="0"/>
    <w:docVar w:name="dvpe" w:val="765.057"/>
    <w:docVar w:name="dvrapporteur" w:val="Zpravodajové: "/>
    <w:docVar w:name="dvstar" w:val="***II"/>
    <w:docVar w:name="dvtitre" w:val="Legislativní usnesení Evropského parlamentu ze dne 22. října 2024 k postoji Rady v prvním čtení k přijetí nařízení Evropského parlamentu a Rady o provádění jednotného evropského nebe (přepracované znění)(08311/2024 – C10-0114/2024 – 2013/0186(COD))"/>
  </w:docVars>
  <w:rsids>
    <w:rsidRoot w:val="00DF1E47"/>
    <w:rsid w:val="00002272"/>
    <w:rsid w:val="00064002"/>
    <w:rsid w:val="000677B9"/>
    <w:rsid w:val="000831BA"/>
    <w:rsid w:val="000A42CC"/>
    <w:rsid w:val="000C3F85"/>
    <w:rsid w:val="000E7DD9"/>
    <w:rsid w:val="0010095E"/>
    <w:rsid w:val="00125B37"/>
    <w:rsid w:val="00187494"/>
    <w:rsid w:val="001D1EA4"/>
    <w:rsid w:val="001F32AE"/>
    <w:rsid w:val="002767FF"/>
    <w:rsid w:val="002B18FE"/>
    <w:rsid w:val="002B5493"/>
    <w:rsid w:val="00343214"/>
    <w:rsid w:val="00361C00"/>
    <w:rsid w:val="00395FA1"/>
    <w:rsid w:val="003E15D4"/>
    <w:rsid w:val="00411CCE"/>
    <w:rsid w:val="0041666E"/>
    <w:rsid w:val="00421060"/>
    <w:rsid w:val="004462FA"/>
    <w:rsid w:val="00471C19"/>
    <w:rsid w:val="004867E3"/>
    <w:rsid w:val="00494A28"/>
    <w:rsid w:val="004C0004"/>
    <w:rsid w:val="004C5D52"/>
    <w:rsid w:val="0050519A"/>
    <w:rsid w:val="005072A1"/>
    <w:rsid w:val="00514517"/>
    <w:rsid w:val="00545827"/>
    <w:rsid w:val="00560270"/>
    <w:rsid w:val="005C2568"/>
    <w:rsid w:val="005F1B17"/>
    <w:rsid w:val="005F5640"/>
    <w:rsid w:val="006037C0"/>
    <w:rsid w:val="006631B6"/>
    <w:rsid w:val="00680577"/>
    <w:rsid w:val="006F74FA"/>
    <w:rsid w:val="00731ADD"/>
    <w:rsid w:val="00734777"/>
    <w:rsid w:val="00747932"/>
    <w:rsid w:val="00751A4A"/>
    <w:rsid w:val="00756632"/>
    <w:rsid w:val="00762C74"/>
    <w:rsid w:val="00786EC0"/>
    <w:rsid w:val="007D1690"/>
    <w:rsid w:val="007E22AD"/>
    <w:rsid w:val="00817416"/>
    <w:rsid w:val="00842779"/>
    <w:rsid w:val="00865F67"/>
    <w:rsid w:val="00881A7B"/>
    <w:rsid w:val="008840E5"/>
    <w:rsid w:val="00887B3E"/>
    <w:rsid w:val="008C2AC6"/>
    <w:rsid w:val="00906DE2"/>
    <w:rsid w:val="00930C23"/>
    <w:rsid w:val="0093193B"/>
    <w:rsid w:val="00946D21"/>
    <w:rsid w:val="009509D8"/>
    <w:rsid w:val="00950B64"/>
    <w:rsid w:val="00981893"/>
    <w:rsid w:val="00A1687D"/>
    <w:rsid w:val="00A4110B"/>
    <w:rsid w:val="00A43E52"/>
    <w:rsid w:val="00A4678D"/>
    <w:rsid w:val="00A562F4"/>
    <w:rsid w:val="00A778C7"/>
    <w:rsid w:val="00AB441E"/>
    <w:rsid w:val="00AB6293"/>
    <w:rsid w:val="00AE0928"/>
    <w:rsid w:val="00AF3B82"/>
    <w:rsid w:val="00B12E95"/>
    <w:rsid w:val="00B22876"/>
    <w:rsid w:val="00B558F0"/>
    <w:rsid w:val="00BD48FE"/>
    <w:rsid w:val="00BD7BD8"/>
    <w:rsid w:val="00BE6ADC"/>
    <w:rsid w:val="00C05BFE"/>
    <w:rsid w:val="00C23CD4"/>
    <w:rsid w:val="00C61C0C"/>
    <w:rsid w:val="00C941CB"/>
    <w:rsid w:val="00CB7371"/>
    <w:rsid w:val="00CC113A"/>
    <w:rsid w:val="00CC2357"/>
    <w:rsid w:val="00CF071A"/>
    <w:rsid w:val="00D058B8"/>
    <w:rsid w:val="00D56C11"/>
    <w:rsid w:val="00D834A0"/>
    <w:rsid w:val="00D84A39"/>
    <w:rsid w:val="00D872DF"/>
    <w:rsid w:val="00D91E21"/>
    <w:rsid w:val="00DA7FCD"/>
    <w:rsid w:val="00DF1E47"/>
    <w:rsid w:val="00E365E1"/>
    <w:rsid w:val="00E820A4"/>
    <w:rsid w:val="00EB006A"/>
    <w:rsid w:val="00EB4772"/>
    <w:rsid w:val="00ED169E"/>
    <w:rsid w:val="00ED4235"/>
    <w:rsid w:val="00F04346"/>
    <w:rsid w:val="00F075DC"/>
    <w:rsid w:val="00F149E9"/>
    <w:rsid w:val="00F3151E"/>
    <w:rsid w:val="00F5134D"/>
    <w:rsid w:val="00F73FC9"/>
    <w:rsid w:val="00F74202"/>
    <w:rsid w:val="00F87713"/>
    <w:rsid w:val="00FB36EF"/>
    <w:rsid w:val="00FB4360"/>
    <w:rsid w:val="00FD0C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6FC0798"/>
  <w15:chartTrackingRefBased/>
  <w15:docId w15:val="{95649DAA-819C-496E-B1B9-0966ABCA48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7FCD"/>
    <w:pPr>
      <w:widowControl w:val="0"/>
    </w:pPr>
    <w:rPr>
      <w:sz w:val="24"/>
      <w:lang w:val="cs-CZ"/>
    </w:rPr>
  </w:style>
  <w:style w:type="paragraph" w:styleId="Heading1">
    <w:name w:val="heading 1"/>
    <w:basedOn w:val="Normal"/>
    <w:next w:val="Normal"/>
    <w:semiHidden/>
    <w:qFormat/>
    <w:rsid w:val="00395FA1"/>
    <w:pPr>
      <w:keepNext/>
      <w:keepLines/>
      <w:widowControl/>
      <w:spacing w:after="120"/>
      <w:ind w:left="510" w:hanging="510"/>
      <w:outlineLvl w:val="0"/>
    </w:pPr>
    <w:rPr>
      <w:b/>
      <w:kern w:val="28"/>
      <w:sz w:val="28"/>
      <w:lang w:val="fr-FR" w:eastAsia="fr-FR"/>
    </w:rPr>
  </w:style>
  <w:style w:type="paragraph" w:styleId="Heading2">
    <w:name w:val="heading 2"/>
    <w:basedOn w:val="Normal"/>
    <w:next w:val="Normal"/>
    <w:semiHidden/>
    <w:qFormat/>
    <w:rsid w:val="00395FA1"/>
    <w:pPr>
      <w:keepNext/>
      <w:widowControl/>
      <w:numPr>
        <w:ilvl w:val="1"/>
        <w:numId w:val="43"/>
      </w:numPr>
      <w:spacing w:before="240" w:after="60"/>
      <w:outlineLvl w:val="1"/>
    </w:pPr>
    <w:rPr>
      <w:lang w:val="fr-FR" w:eastAsia="fr-FR"/>
    </w:rPr>
  </w:style>
  <w:style w:type="paragraph" w:styleId="Heading3">
    <w:name w:val="heading 3"/>
    <w:basedOn w:val="Normal"/>
    <w:next w:val="Normal"/>
    <w:semiHidden/>
    <w:qFormat/>
    <w:rsid w:val="00395FA1"/>
    <w:pPr>
      <w:keepNext/>
      <w:widowControl/>
      <w:numPr>
        <w:ilvl w:val="2"/>
        <w:numId w:val="43"/>
      </w:numPr>
      <w:spacing w:before="240" w:after="60"/>
      <w:outlineLvl w:val="2"/>
    </w:pPr>
    <w:rPr>
      <w:rFonts w:ascii="Arial" w:hAnsi="Arial"/>
      <w:lang w:val="fr-FR" w:eastAsia="fr-FR"/>
    </w:rPr>
  </w:style>
  <w:style w:type="paragraph" w:styleId="Heading4">
    <w:name w:val="heading 4"/>
    <w:basedOn w:val="Normal"/>
    <w:next w:val="Normal"/>
    <w:semiHidden/>
    <w:qFormat/>
    <w:rsid w:val="00395FA1"/>
    <w:pPr>
      <w:keepNext/>
      <w:widowControl/>
      <w:numPr>
        <w:ilvl w:val="3"/>
        <w:numId w:val="43"/>
      </w:numPr>
      <w:spacing w:before="240" w:after="60"/>
      <w:outlineLvl w:val="3"/>
    </w:pPr>
    <w:rPr>
      <w:lang w:val="en-US" w:eastAsia="fr-FR"/>
    </w:rPr>
  </w:style>
  <w:style w:type="paragraph" w:styleId="Heading5">
    <w:name w:val="heading 5"/>
    <w:basedOn w:val="Normal"/>
    <w:next w:val="Normal"/>
    <w:semiHidden/>
    <w:qFormat/>
    <w:rsid w:val="00395FA1"/>
    <w:pPr>
      <w:widowControl/>
      <w:numPr>
        <w:ilvl w:val="4"/>
        <w:numId w:val="44"/>
      </w:numPr>
      <w:spacing w:before="240" w:after="60"/>
      <w:outlineLvl w:val="4"/>
    </w:pPr>
    <w:rPr>
      <w:lang w:val="en-US" w:eastAsia="fr-FR"/>
    </w:rPr>
  </w:style>
  <w:style w:type="paragraph" w:styleId="Heading6">
    <w:name w:val="heading 6"/>
    <w:basedOn w:val="Normal"/>
    <w:next w:val="Normal"/>
    <w:semiHidden/>
    <w:qFormat/>
    <w:pPr>
      <w:spacing w:before="240" w:after="60"/>
      <w:outlineLvl w:val="5"/>
    </w:pPr>
    <w:rPr>
      <w:i/>
      <w:sz w:val="22"/>
    </w:rPr>
  </w:style>
  <w:style w:type="paragraph" w:styleId="Heading7">
    <w:name w:val="heading 7"/>
    <w:basedOn w:val="Normal"/>
    <w:next w:val="Normal"/>
    <w:semiHidden/>
    <w:qFormat/>
    <w:pPr>
      <w:spacing w:before="240" w:after="60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semiHidden/>
    <w:qFormat/>
    <w:pPr>
      <w:spacing w:before="240" w:after="60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semiHidden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ideTWBExt">
    <w:name w:val="HideTWBExt"/>
    <w:rPr>
      <w:rFonts w:ascii="Arial" w:hAnsi="Arial"/>
      <w:noProof/>
      <w:vanish/>
      <w:color w:val="000080"/>
      <w:sz w:val="20"/>
    </w:rPr>
  </w:style>
  <w:style w:type="paragraph" w:styleId="TOC1">
    <w:name w:val="toc 1"/>
    <w:basedOn w:val="Normal"/>
    <w:next w:val="Normal"/>
    <w:autoRedefine/>
    <w:semiHidden/>
    <w:rsid w:val="00395FA1"/>
    <w:pPr>
      <w:keepNext/>
      <w:keepLines/>
      <w:widowControl/>
      <w:spacing w:before="200"/>
    </w:pPr>
    <w:rPr>
      <w:b/>
      <w:noProof/>
      <w:lang w:val="fr-FR" w:eastAsia="fr-FR"/>
    </w:rPr>
  </w:style>
  <w:style w:type="character" w:customStyle="1" w:styleId="HideTWBInt">
    <w:name w:val="HideTWBInt"/>
    <w:rPr>
      <w:rFonts w:ascii="Arial" w:hAnsi="Arial" w:cs="Arial"/>
      <w:vanish/>
      <w:color w:val="808080"/>
      <w:sz w:val="20"/>
    </w:rPr>
  </w:style>
  <w:style w:type="paragraph" w:customStyle="1" w:styleId="EPBodyTA2">
    <w:name w:val="EPBodyTA2"/>
    <w:basedOn w:val="Normal"/>
    <w:rsid w:val="00AE0928"/>
    <w:pPr>
      <w:jc w:val="center"/>
    </w:pPr>
    <w:rPr>
      <w:rFonts w:ascii="Arial" w:hAnsi="Arial"/>
      <w:bCs/>
      <w:i/>
      <w:sz w:val="20"/>
    </w:rPr>
  </w:style>
  <w:style w:type="table" w:styleId="TableGrid">
    <w:name w:val="Table Grid"/>
    <w:basedOn w:val="TableNormal"/>
    <w:rsid w:val="00D058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PBodyTA1">
    <w:name w:val="EPBodyTA1"/>
    <w:basedOn w:val="Normal"/>
    <w:rsid w:val="00AE0928"/>
    <w:pPr>
      <w:jc w:val="center"/>
    </w:pPr>
    <w:rPr>
      <w:rFonts w:ascii="Arial" w:hAnsi="Arial" w:cs="Arial"/>
      <w:b/>
      <w:sz w:val="22"/>
      <w:szCs w:val="22"/>
    </w:rPr>
  </w:style>
  <w:style w:type="paragraph" w:customStyle="1" w:styleId="LineTop">
    <w:name w:val="LineTop"/>
    <w:basedOn w:val="Normal"/>
    <w:next w:val="Normal"/>
    <w:rsid w:val="00D058B8"/>
    <w:pPr>
      <w:pBdr>
        <w:top w:val="single" w:sz="4" w:space="1" w:color="auto"/>
      </w:pBdr>
      <w:jc w:val="center"/>
    </w:pPr>
    <w:rPr>
      <w:rFonts w:ascii="Arial" w:hAnsi="Arial" w:cs="Arial"/>
      <w:sz w:val="16"/>
      <w:szCs w:val="16"/>
    </w:rPr>
  </w:style>
  <w:style w:type="paragraph" w:customStyle="1" w:styleId="LineBottom">
    <w:name w:val="LineBottom"/>
    <w:basedOn w:val="Normal"/>
    <w:next w:val="Normal"/>
    <w:rsid w:val="00A1687D"/>
    <w:pPr>
      <w:pBdr>
        <w:bottom w:val="single" w:sz="4" w:space="1" w:color="auto"/>
      </w:pBdr>
      <w:spacing w:after="240"/>
      <w:jc w:val="center"/>
    </w:pPr>
    <w:rPr>
      <w:rFonts w:ascii="Arial" w:hAnsi="Arial" w:cs="Arial"/>
      <w:sz w:val="16"/>
      <w:szCs w:val="16"/>
    </w:rPr>
  </w:style>
  <w:style w:type="paragraph" w:customStyle="1" w:styleId="ATHeading1">
    <w:name w:val="AT Heading 1"/>
    <w:basedOn w:val="Normal"/>
    <w:next w:val="Normal"/>
    <w:rsid w:val="00F5134D"/>
    <w:pPr>
      <w:keepNext/>
      <w:keepLines/>
      <w:widowControl/>
      <w:spacing w:before="480" w:after="120"/>
      <w:outlineLvl w:val="0"/>
    </w:pPr>
    <w:rPr>
      <w:b/>
      <w:sz w:val="28"/>
      <w:lang w:eastAsia="fr-FR"/>
    </w:rPr>
  </w:style>
  <w:style w:type="paragraph" w:customStyle="1" w:styleId="ATHeading2">
    <w:name w:val="AT Heading 2"/>
    <w:basedOn w:val="Normal"/>
    <w:next w:val="Normal"/>
    <w:rsid w:val="00395FA1"/>
    <w:pPr>
      <w:widowControl/>
      <w:spacing w:before="120" w:after="120"/>
      <w:outlineLvl w:val="1"/>
    </w:pPr>
    <w:rPr>
      <w:b/>
      <w:sz w:val="28"/>
      <w:lang w:eastAsia="fr-FR"/>
    </w:rPr>
  </w:style>
  <w:style w:type="paragraph" w:customStyle="1" w:styleId="ATHeading3">
    <w:name w:val="AT Heading 3"/>
    <w:basedOn w:val="Normal"/>
    <w:next w:val="Normal"/>
    <w:rsid w:val="00395FA1"/>
    <w:pPr>
      <w:keepNext/>
      <w:keepLines/>
      <w:widowControl/>
      <w:spacing w:before="120" w:after="120"/>
      <w:outlineLvl w:val="2"/>
    </w:pPr>
    <w:rPr>
      <w:b/>
      <w:lang w:eastAsia="fr-FR"/>
    </w:rPr>
  </w:style>
  <w:style w:type="paragraph" w:customStyle="1" w:styleId="ATHeadingMotiv">
    <w:name w:val="AT Heading Motiv"/>
    <w:basedOn w:val="Normal"/>
    <w:next w:val="Normal"/>
    <w:rsid w:val="00395FA1"/>
    <w:pPr>
      <w:keepNext/>
      <w:widowControl/>
      <w:spacing w:before="60" w:after="60"/>
      <w:jc w:val="center"/>
    </w:pPr>
    <w:rPr>
      <w:i/>
      <w:lang w:eastAsia="fr-FR"/>
    </w:rPr>
  </w:style>
  <w:style w:type="character" w:styleId="FootnoteReference">
    <w:name w:val="footnote reference"/>
    <w:rsid w:val="00395FA1"/>
    <w:rPr>
      <w:b w:val="0"/>
      <w:vertAlign w:val="superscript"/>
    </w:rPr>
  </w:style>
  <w:style w:type="paragraph" w:styleId="FootnoteText">
    <w:name w:val="footnote text"/>
    <w:basedOn w:val="Normal"/>
    <w:link w:val="FootnoteTextChar"/>
    <w:rsid w:val="00395FA1"/>
    <w:pPr>
      <w:keepLines/>
      <w:widowControl/>
      <w:spacing w:line="260" w:lineRule="exact"/>
      <w:ind w:left="425" w:hanging="425"/>
    </w:pPr>
    <w:rPr>
      <w:sz w:val="22"/>
      <w:lang w:val="fr-FR" w:eastAsia="fr-FR"/>
    </w:rPr>
  </w:style>
  <w:style w:type="character" w:customStyle="1" w:styleId="FootnoteTextChar">
    <w:name w:val="Footnote Text Char"/>
    <w:link w:val="FootnoteText"/>
    <w:rsid w:val="00762C74"/>
    <w:rPr>
      <w:sz w:val="22"/>
      <w:lang w:val="fr-FR" w:eastAsia="fr-FR"/>
    </w:rPr>
  </w:style>
  <w:style w:type="character" w:styleId="PageNumber">
    <w:name w:val="page number"/>
    <w:semiHidden/>
    <w:rsid w:val="00395FA1"/>
  </w:style>
  <w:style w:type="paragraph" w:styleId="TOC2">
    <w:name w:val="toc 2"/>
    <w:basedOn w:val="Normal"/>
    <w:next w:val="Normal"/>
    <w:autoRedefine/>
    <w:semiHidden/>
    <w:rsid w:val="00395FA1"/>
    <w:pPr>
      <w:keepNext/>
      <w:keepLines/>
      <w:widowControl/>
    </w:pPr>
    <w:rPr>
      <w:b/>
      <w:noProof/>
      <w:lang w:val="fr-FR" w:eastAsia="fr-FR"/>
    </w:rPr>
  </w:style>
  <w:style w:type="paragraph" w:styleId="TOC3">
    <w:name w:val="toc 3"/>
    <w:basedOn w:val="Normal"/>
    <w:next w:val="Normal"/>
    <w:autoRedefine/>
    <w:semiHidden/>
    <w:rsid w:val="00395FA1"/>
    <w:pPr>
      <w:keepLines/>
      <w:widowControl/>
      <w:ind w:right="510"/>
    </w:pPr>
    <w:rPr>
      <w:noProof/>
      <w:lang w:val="fr-FR" w:eastAsia="fr-FR"/>
    </w:rPr>
  </w:style>
  <w:style w:type="paragraph" w:customStyle="1" w:styleId="EPName">
    <w:name w:val="EPName"/>
    <w:basedOn w:val="Normal"/>
    <w:rsid w:val="00751A4A"/>
    <w:pPr>
      <w:spacing w:before="80" w:after="80"/>
    </w:pPr>
    <w:rPr>
      <w:rFonts w:ascii="Arial Narrow" w:hAnsi="Arial Narrow" w:cs="Arial"/>
      <w:b/>
      <w:sz w:val="32"/>
      <w:szCs w:val="22"/>
    </w:rPr>
  </w:style>
  <w:style w:type="paragraph" w:customStyle="1" w:styleId="EPTerm">
    <w:name w:val="EPTerm"/>
    <w:basedOn w:val="Normal"/>
    <w:next w:val="Normal"/>
    <w:rsid w:val="00751A4A"/>
    <w:pPr>
      <w:spacing w:after="80"/>
    </w:pPr>
    <w:rPr>
      <w:rFonts w:ascii="Arial" w:hAnsi="Arial" w:cs="Arial"/>
      <w:sz w:val="20"/>
      <w:szCs w:val="22"/>
    </w:rPr>
  </w:style>
  <w:style w:type="paragraph" w:customStyle="1" w:styleId="EPLogo">
    <w:name w:val="EPLogo"/>
    <w:basedOn w:val="Normal"/>
    <w:qFormat/>
    <w:rsid w:val="00751A4A"/>
    <w:pPr>
      <w:jc w:val="right"/>
    </w:pPr>
  </w:style>
  <w:style w:type="paragraph" w:customStyle="1" w:styleId="EPFooter2">
    <w:name w:val="EPFooter2"/>
    <w:basedOn w:val="Normal"/>
    <w:next w:val="Normal"/>
    <w:rsid w:val="00D84A39"/>
    <w:pPr>
      <w:widowControl/>
      <w:tabs>
        <w:tab w:val="center" w:pos="4535"/>
        <w:tab w:val="right" w:pos="9921"/>
      </w:tabs>
      <w:ind w:left="-850" w:right="-850"/>
    </w:pPr>
    <w:rPr>
      <w:rFonts w:ascii="Arial" w:hAnsi="Arial" w:cs="Arial"/>
      <w:b/>
      <w:sz w:val="48"/>
    </w:rPr>
  </w:style>
  <w:style w:type="paragraph" w:customStyle="1" w:styleId="EPComma">
    <w:name w:val="EPComma"/>
    <w:basedOn w:val="Normal"/>
    <w:rsid w:val="00D84A39"/>
    <w:pPr>
      <w:spacing w:before="480" w:after="240"/>
    </w:pPr>
  </w:style>
  <w:style w:type="paragraph" w:customStyle="1" w:styleId="PageHeading">
    <w:name w:val="PageHeading"/>
    <w:basedOn w:val="Normal"/>
    <w:rsid w:val="00D84A39"/>
    <w:pPr>
      <w:keepNext/>
      <w:spacing w:after="480"/>
      <w:jc w:val="center"/>
    </w:pPr>
    <w:rPr>
      <w:rFonts w:ascii="Arial" w:hAnsi="Arial" w:cs="Arial"/>
      <w:b/>
    </w:rPr>
  </w:style>
  <w:style w:type="paragraph" w:customStyle="1" w:styleId="NormalHanging12a">
    <w:name w:val="NormalHanging12a"/>
    <w:basedOn w:val="Normal"/>
    <w:rsid w:val="00D84A39"/>
    <w:pPr>
      <w:spacing w:after="240"/>
      <w:ind w:left="567" w:hanging="567"/>
    </w:pPr>
  </w:style>
  <w:style w:type="paragraph" w:styleId="Header">
    <w:name w:val="header"/>
    <w:basedOn w:val="Normal"/>
    <w:link w:val="HeaderChar"/>
    <w:rsid w:val="00D84A3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D84A39"/>
    <w:rPr>
      <w:sz w:val="24"/>
      <w:lang w:val="cs-CZ"/>
    </w:rPr>
  </w:style>
  <w:style w:type="paragraph" w:customStyle="1" w:styleId="EPFooter">
    <w:name w:val="EPFooter"/>
    <w:basedOn w:val="Normal"/>
    <w:rsid w:val="00D84A39"/>
    <w:pPr>
      <w:tabs>
        <w:tab w:val="center" w:pos="4535"/>
        <w:tab w:val="right" w:pos="9071"/>
      </w:tabs>
      <w:spacing w:before="240" w:after="240"/>
    </w:pPr>
    <w:rPr>
      <w:color w:val="010000"/>
      <w:sz w:val="22"/>
    </w:rPr>
  </w:style>
  <w:style w:type="character" w:customStyle="1" w:styleId="italic">
    <w:name w:val="italic"/>
    <w:basedOn w:val="DefaultParagraphFont"/>
    <w:rsid w:val="00D84A39"/>
  </w:style>
  <w:style w:type="paragraph" w:styleId="Footer">
    <w:name w:val="footer"/>
    <w:basedOn w:val="Normal"/>
    <w:link w:val="FooterChar"/>
    <w:rsid w:val="00946D2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946D21"/>
    <w:rPr>
      <w:sz w:val="24"/>
      <w:lang w:val="cs-CZ"/>
    </w:rPr>
  </w:style>
  <w:style w:type="character" w:styleId="CommentReference">
    <w:name w:val="annotation reference"/>
    <w:basedOn w:val="DefaultParagraphFont"/>
    <w:rsid w:val="00FB36EF"/>
    <w:rPr>
      <w:sz w:val="16"/>
      <w:szCs w:val="16"/>
    </w:rPr>
  </w:style>
  <w:style w:type="paragraph" w:styleId="CommentText">
    <w:name w:val="annotation text"/>
    <w:basedOn w:val="Normal"/>
    <w:link w:val="CommentTextChar"/>
    <w:rsid w:val="00FB36EF"/>
    <w:rPr>
      <w:sz w:val="20"/>
    </w:rPr>
  </w:style>
  <w:style w:type="character" w:customStyle="1" w:styleId="CommentTextChar">
    <w:name w:val="Comment Text Char"/>
    <w:basedOn w:val="DefaultParagraphFont"/>
    <w:link w:val="CommentText"/>
    <w:rsid w:val="00FB36EF"/>
    <w:rPr>
      <w:lang w:val="cs-CZ"/>
    </w:rPr>
  </w:style>
  <w:style w:type="paragraph" w:styleId="CommentSubject">
    <w:name w:val="annotation subject"/>
    <w:basedOn w:val="CommentText"/>
    <w:next w:val="CommentText"/>
    <w:link w:val="CommentSubjectChar"/>
    <w:rsid w:val="00FB36EF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B36EF"/>
    <w:rPr>
      <w:b/>
      <w:bCs/>
      <w:lang w:val="cs-CZ"/>
    </w:rPr>
  </w:style>
  <w:style w:type="paragraph" w:styleId="BalloonText">
    <w:name w:val="Balloon Text"/>
    <w:basedOn w:val="Normal"/>
    <w:link w:val="BalloonTextChar"/>
    <w:rsid w:val="00FB36E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FB36EF"/>
    <w:rPr>
      <w:rFonts w:ascii="Segoe UI" w:hAnsi="Segoe UI" w:cs="Segoe UI"/>
      <w:sz w:val="18"/>
      <w:szCs w:val="18"/>
      <w:lang w:val="cs-CZ"/>
    </w:rPr>
  </w:style>
  <w:style w:type="paragraph" w:customStyle="1" w:styleId="NormalBold">
    <w:name w:val="NormalBold"/>
    <w:basedOn w:val="Normal"/>
    <w:rsid w:val="00FB36EF"/>
    <w:rPr>
      <w:b/>
    </w:rPr>
  </w:style>
  <w:style w:type="paragraph" w:customStyle="1" w:styleId="NormalBold12a">
    <w:name w:val="NormalBold12a"/>
    <w:basedOn w:val="Normal"/>
    <w:rsid w:val="00FB36EF"/>
    <w:pPr>
      <w:spacing w:after="240"/>
    </w:pPr>
    <w:rPr>
      <w:b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BA59AE-396B-4F2B-B619-3D43AD397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TA</vt:lpstr>
    </vt:vector>
  </TitlesOfParts>
  <Company/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</dc:title>
  <dc:subject/>
  <dc:creator>Jindra Konopková</dc:creator>
  <cp:keywords/>
  <cp:lastModifiedBy>HILL Romana</cp:lastModifiedBy>
  <cp:revision>2</cp:revision>
  <cp:lastPrinted>2004-11-19T15:42:00Z</cp:lastPrinted>
  <dcterms:created xsi:type="dcterms:W3CDTF">2024-10-23T08:54:00Z</dcterms:created>
  <dcterms:modified xsi:type="dcterms:W3CDTF">2024-10-23T08:54:00Z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&lt;Extension&gt;">
    <vt:lpwstr>CS</vt:lpwstr>
  </property>
  <property fmtid="{D5CDD505-2E9C-101B-9397-08002B2CF9AE}" pid="3" name="&lt;FdR&gt;">
    <vt:lpwstr>P10_TA(2024)0022_</vt:lpwstr>
  </property>
  <property fmtid="{D5CDD505-2E9C-101B-9397-08002B2CF9AE}" pid="4" name="&lt;Type&gt;">
    <vt:lpwstr>RR</vt:lpwstr>
  </property>
</Properties>
</file>