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433FB" w:rsidTr="0010095E">
        <w:trPr>
          <w:trHeight w:hRule="exact" w:val="1418"/>
        </w:trPr>
        <w:tc>
          <w:tcPr>
            <w:tcW w:w="6804" w:type="dxa"/>
            <w:shd w:val="clear" w:color="auto" w:fill="auto"/>
            <w:vAlign w:val="center"/>
          </w:tcPr>
          <w:p w:rsidR="00751A4A" w:rsidRPr="008433FB" w:rsidRDefault="00455F2A" w:rsidP="0010095E">
            <w:pPr>
              <w:pStyle w:val="EPName"/>
            </w:pPr>
            <w:r w:rsidRPr="008433FB">
              <w:t>Ευρωπαϊκό Κοινοβούλιο</w:t>
            </w:r>
          </w:p>
          <w:p w:rsidR="00751A4A" w:rsidRPr="008433FB" w:rsidRDefault="005F1B17" w:rsidP="005F1B17">
            <w:pPr>
              <w:pStyle w:val="EPTerm"/>
              <w:rPr>
                <w:rStyle w:val="HideTWBExt"/>
                <w:noProof w:val="0"/>
                <w:vanish w:val="0"/>
                <w:color w:val="auto"/>
              </w:rPr>
            </w:pPr>
            <w:r w:rsidRPr="008433FB">
              <w:t>2024</w:t>
            </w:r>
            <w:r w:rsidR="00817416" w:rsidRPr="008433FB">
              <w:t>-202</w:t>
            </w:r>
            <w:r w:rsidRPr="008433FB">
              <w:t>9</w:t>
            </w:r>
          </w:p>
        </w:tc>
        <w:tc>
          <w:tcPr>
            <w:tcW w:w="2268" w:type="dxa"/>
            <w:shd w:val="clear" w:color="auto" w:fill="auto"/>
          </w:tcPr>
          <w:p w:rsidR="00751A4A" w:rsidRPr="008433FB" w:rsidRDefault="00187494" w:rsidP="0010095E">
            <w:pPr>
              <w:pStyle w:val="EPLogo"/>
            </w:pPr>
            <w:r w:rsidRPr="008433F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433FB" w:rsidRDefault="00D058B8" w:rsidP="004C5D52">
      <w:pPr>
        <w:pStyle w:val="LineTop"/>
      </w:pPr>
    </w:p>
    <w:p w:rsidR="00680577" w:rsidRPr="008433FB" w:rsidRDefault="00455F2A" w:rsidP="00680577">
      <w:pPr>
        <w:pStyle w:val="EPBodyTA1"/>
      </w:pPr>
      <w:r w:rsidRPr="008433FB">
        <w:t>ΚΕΙΜΕΝΑ ΠΟΥ ΕΓΚΡΙΘΗΚΑΝ</w:t>
      </w:r>
    </w:p>
    <w:p w:rsidR="00D058B8" w:rsidRPr="008433FB" w:rsidRDefault="00D058B8" w:rsidP="00D058B8">
      <w:pPr>
        <w:pStyle w:val="LineBottom"/>
      </w:pPr>
    </w:p>
    <w:p w:rsidR="00455F2A" w:rsidRPr="008433FB" w:rsidRDefault="00455F2A" w:rsidP="00455F2A">
      <w:pPr>
        <w:pStyle w:val="ATHeading1"/>
      </w:pPr>
      <w:bookmarkStart w:id="0" w:name="TANumber"/>
      <w:r w:rsidRPr="008433FB">
        <w:t>P10_TA(2024)00</w:t>
      </w:r>
      <w:r w:rsidR="008433FB" w:rsidRPr="008433FB">
        <w:t>22</w:t>
      </w:r>
      <w:bookmarkEnd w:id="0"/>
    </w:p>
    <w:p w:rsidR="00455F2A" w:rsidRPr="008433FB" w:rsidRDefault="00455F2A" w:rsidP="00455F2A">
      <w:pPr>
        <w:pStyle w:val="ATHeading2"/>
      </w:pPr>
      <w:bookmarkStart w:id="1" w:name="title"/>
      <w:r w:rsidRPr="008433FB">
        <w:t>Υλοποίηση του Ενιαίου Ευρωπαϊκού Ουρανού (αναδιατύπωση)</w:t>
      </w:r>
      <w:bookmarkEnd w:id="1"/>
    </w:p>
    <w:p w:rsidR="00455F2A" w:rsidRPr="008433FB" w:rsidRDefault="00455F2A" w:rsidP="00455F2A">
      <w:pPr>
        <w:rPr>
          <w:i/>
          <w:vanish/>
        </w:rPr>
      </w:pPr>
      <w:r w:rsidRPr="008433FB">
        <w:rPr>
          <w:i/>
        </w:rPr>
        <w:fldChar w:fldCharType="begin"/>
      </w:r>
      <w:r w:rsidRPr="008433FB">
        <w:rPr>
          <w:i/>
        </w:rPr>
        <w:instrText xml:space="preserve"> TC"(</w:instrText>
      </w:r>
      <w:bookmarkStart w:id="2" w:name="DocNumber"/>
      <w:r w:rsidRPr="008433FB">
        <w:rPr>
          <w:i/>
        </w:rPr>
        <w:instrText>A10-0010/2024</w:instrText>
      </w:r>
      <w:bookmarkEnd w:id="2"/>
      <w:r w:rsidRPr="008433FB">
        <w:rPr>
          <w:i/>
        </w:rPr>
        <w:instrText xml:space="preserve"> - Εισηγητές: Jens Gieseke, Johan Danielsson)"\l3 \n&gt; \* MERGEFORMAT </w:instrText>
      </w:r>
      <w:r w:rsidRPr="008433FB">
        <w:rPr>
          <w:i/>
        </w:rPr>
        <w:fldChar w:fldCharType="end"/>
      </w:r>
    </w:p>
    <w:p w:rsidR="00455F2A" w:rsidRPr="008433FB" w:rsidRDefault="00455F2A" w:rsidP="00455F2A">
      <w:pPr>
        <w:rPr>
          <w:vanish/>
        </w:rPr>
      </w:pPr>
      <w:bookmarkStart w:id="3" w:name="Commission"/>
      <w:r w:rsidRPr="008433FB">
        <w:rPr>
          <w:vanish/>
        </w:rPr>
        <w:t>Επιτροπή Μεταφορών και Τουρισμού</w:t>
      </w:r>
      <w:bookmarkEnd w:id="3"/>
    </w:p>
    <w:p w:rsidR="00455F2A" w:rsidRPr="008433FB" w:rsidRDefault="00455F2A" w:rsidP="00455F2A">
      <w:pPr>
        <w:rPr>
          <w:vanish/>
        </w:rPr>
      </w:pPr>
      <w:bookmarkStart w:id="4" w:name="PE"/>
      <w:r w:rsidRPr="008433FB">
        <w:rPr>
          <w:vanish/>
        </w:rPr>
        <w:t>PE765.057</w:t>
      </w:r>
      <w:bookmarkEnd w:id="4"/>
    </w:p>
    <w:p w:rsidR="00455F2A" w:rsidRPr="008433FB" w:rsidRDefault="00455F2A" w:rsidP="00455F2A">
      <w:pPr>
        <w:pStyle w:val="ATHeading3"/>
      </w:pPr>
      <w:bookmarkStart w:id="5" w:name="Sujet"/>
      <w:r w:rsidRPr="008433FB">
        <w:t xml:space="preserve">Νομοθετικό ψήφισμα του Ευρωπαϊκού Κοινοβουλίου </w:t>
      </w:r>
      <w:r w:rsidR="000F6F66" w:rsidRPr="008433FB">
        <w:t xml:space="preserve">της 22ας Οκτωβρίου 2024 </w:t>
      </w:r>
      <w:r w:rsidRPr="008433FB">
        <w:t>σχετικά με τη θέση του Συμβουλίου σε πρώτη ανάγνωση εν όψει της έκδοσης κανονισμού του Ευρωπαϊκού Κοινοβουλίου και του Συμβουλίου για την υλοποίηση του Ενιαίου Ευρωπαϊκού Ουρανού (αναδιατύπωση)</w:t>
      </w:r>
      <w:bookmarkEnd w:id="5"/>
      <w:r w:rsidRPr="008433FB">
        <w:t xml:space="preserve"> </w:t>
      </w:r>
      <w:bookmarkStart w:id="6" w:name="References"/>
      <w:r w:rsidRPr="008433FB">
        <w:t>(08311/2024 – C10-0114/2024 – 2013/0186(COD))</w:t>
      </w:r>
      <w:bookmarkEnd w:id="6"/>
    </w:p>
    <w:p w:rsidR="00455F2A" w:rsidRPr="008433FB" w:rsidRDefault="00455F2A" w:rsidP="00455F2A"/>
    <w:p w:rsidR="00A529CB" w:rsidRPr="008433FB" w:rsidRDefault="00A529CB" w:rsidP="00A529CB">
      <w:pPr>
        <w:pStyle w:val="NormalBold"/>
      </w:pPr>
      <w:bookmarkStart w:id="7" w:name="TextBodyBegin"/>
      <w:bookmarkEnd w:id="7"/>
      <w:r w:rsidRPr="008433FB">
        <w:t>(Συνήθης νομοθετική διαδικασία: δεύτερη ανάγνωση)</w:t>
      </w:r>
    </w:p>
    <w:p w:rsidR="00A529CB" w:rsidRPr="008433FB" w:rsidRDefault="00A529CB" w:rsidP="00A529CB">
      <w:pPr>
        <w:pStyle w:val="EPComma"/>
      </w:pPr>
      <w:r w:rsidRPr="008433FB">
        <w:rPr>
          <w:i/>
          <w:iCs/>
        </w:rPr>
        <w:t>Το Ευρωπαϊκό Κοινοβούλιο</w:t>
      </w:r>
      <w:r w:rsidRPr="008433FB">
        <w:t>,</w:t>
      </w:r>
    </w:p>
    <w:p w:rsidR="00A529CB" w:rsidRPr="008433FB" w:rsidRDefault="00A529CB" w:rsidP="00A529CB">
      <w:pPr>
        <w:pStyle w:val="NormalHanging12a"/>
      </w:pPr>
      <w:r w:rsidRPr="008433FB">
        <w:t>–</w:t>
      </w:r>
      <w:r w:rsidRPr="008433FB">
        <w:tab/>
        <w:t>έχοντας υπόψη τη θέση του Συμβουλίου σε πρώτη ανάγνωση (08311/2024 – C10</w:t>
      </w:r>
      <w:r w:rsidRPr="008433FB">
        <w:noBreakHyphen/>
        <w:t>0114/2024),</w:t>
      </w:r>
    </w:p>
    <w:p w:rsidR="00A529CB" w:rsidRPr="008433FB" w:rsidRDefault="00A529CB" w:rsidP="00A529CB">
      <w:pPr>
        <w:pStyle w:val="NormalHanging12a"/>
      </w:pPr>
      <w:r w:rsidRPr="008433FB">
        <w:t>–</w:t>
      </w:r>
      <w:r w:rsidRPr="008433FB">
        <w:tab/>
        <w:t>έχοντας υπόψη τη θέση του σε πρώτη ανάγνωση</w:t>
      </w:r>
      <w:r w:rsidRPr="008433FB">
        <w:rPr>
          <w:rStyle w:val="FootnoteReference"/>
        </w:rPr>
        <w:footnoteReference w:id="1"/>
      </w:r>
      <w:r w:rsidRPr="008433FB">
        <w:t xml:space="preserve"> σχετικά με την πρόταση της Επιτροπής προς το Ευρωπαϊκό Κοινοβούλιο και το Συμβούλιο (COM(2013)0410),</w:t>
      </w:r>
    </w:p>
    <w:p w:rsidR="00A529CB" w:rsidRPr="008433FB" w:rsidRDefault="00A529CB" w:rsidP="00A529CB">
      <w:pPr>
        <w:pStyle w:val="NormalHanging12a"/>
      </w:pPr>
      <w:r w:rsidRPr="008433FB">
        <w:t>–</w:t>
      </w:r>
      <w:r w:rsidRPr="008433FB">
        <w:tab/>
        <w:t>έχοντας υπόψη την τροποποιημένη πρόταση της Επιτροπής (COM(2020)0579),</w:t>
      </w:r>
    </w:p>
    <w:p w:rsidR="00A529CB" w:rsidRPr="008433FB" w:rsidRDefault="00A529CB" w:rsidP="00A529CB">
      <w:pPr>
        <w:pStyle w:val="NormalHanging12a"/>
      </w:pPr>
      <w:r w:rsidRPr="008433FB">
        <w:t>–</w:t>
      </w:r>
      <w:r w:rsidRPr="008433FB">
        <w:tab/>
        <w:t>έχοντας υπόψη την πρόταση της Επιτροπής προς το Κοινοβούλιο και το Συμβούλιο (COM(2020)0577 – 2020/0264(COD)),</w:t>
      </w:r>
    </w:p>
    <w:p w:rsidR="00A529CB" w:rsidRPr="008433FB" w:rsidRDefault="00A529CB" w:rsidP="00A529CB">
      <w:pPr>
        <w:pStyle w:val="NormalHanging12a"/>
      </w:pPr>
      <w:r w:rsidRPr="008433FB">
        <w:t>–</w:t>
      </w:r>
      <w:r w:rsidRPr="008433FB">
        <w:tab/>
        <w:t>έχοντας υπόψη το άρθρο 294 παράγραφος 7 της Συνθήκης για τη λειτουργία της Ευρωπαϊκής Ένωσης,</w:t>
      </w:r>
    </w:p>
    <w:p w:rsidR="00A529CB" w:rsidRPr="008433FB" w:rsidRDefault="00A529CB" w:rsidP="00A529CB">
      <w:pPr>
        <w:pStyle w:val="NormalHanging12a"/>
      </w:pPr>
      <w:r w:rsidRPr="008433FB">
        <w:t>–</w:t>
      </w:r>
      <w:r w:rsidRPr="008433FB">
        <w:tab/>
        <w:t>έχοντας υπόψη το άρθρο 68 του Κανονισμού του,</w:t>
      </w:r>
    </w:p>
    <w:p w:rsidR="00A529CB" w:rsidRPr="008433FB" w:rsidRDefault="00A529CB" w:rsidP="00A529CB">
      <w:pPr>
        <w:pStyle w:val="NormalHanging12a"/>
      </w:pPr>
      <w:r w:rsidRPr="008433FB">
        <w:t>–</w:t>
      </w:r>
      <w:r w:rsidRPr="008433FB">
        <w:tab/>
        <w:t>έχοντας υπόψη τη σύσταση για τη δεύτερη ανάγνωση της Επιτροπής Μεταφορών και Τουρισμού (A10-0010/2024),</w:t>
      </w:r>
    </w:p>
    <w:p w:rsidR="00A529CB" w:rsidRPr="008433FB" w:rsidRDefault="00A529CB" w:rsidP="00A529CB">
      <w:pPr>
        <w:pStyle w:val="NormalHanging12a"/>
      </w:pPr>
      <w:r w:rsidRPr="008433FB">
        <w:t>1.</w:t>
      </w:r>
      <w:r w:rsidRPr="008433FB">
        <w:tab/>
        <w:t>εγκρίνει τη θέση του Συμβουλίου σε πρώτη ανάγνωση·</w:t>
      </w:r>
    </w:p>
    <w:p w:rsidR="00A529CB" w:rsidRPr="008433FB" w:rsidRDefault="00A529CB" w:rsidP="00A529CB">
      <w:pPr>
        <w:pStyle w:val="NormalHanging12a"/>
      </w:pPr>
      <w:r w:rsidRPr="008433FB">
        <w:t>2.</w:t>
      </w:r>
      <w:r w:rsidRPr="008433FB">
        <w:tab/>
        <w:t>θεωρεί ότι, λόγω της ενσωμάτωσης του περιεχομένου της πρότασης της Επιτροπής COM(2020)0577 στη θέση αυτή, η νομοθετική διαδικασία 2020/0264(COD) έχει καταστεί άνευ αντικειμένου·</w:t>
      </w:r>
    </w:p>
    <w:p w:rsidR="00A529CB" w:rsidRPr="008433FB" w:rsidRDefault="00A529CB" w:rsidP="00A529CB">
      <w:pPr>
        <w:pStyle w:val="NormalHanging12a"/>
      </w:pPr>
      <w:r w:rsidRPr="008433FB">
        <w:t>3.</w:t>
      </w:r>
      <w:r w:rsidRPr="008433FB">
        <w:tab/>
        <w:t xml:space="preserve">εγκρίνει την κοινή δήλωση του Κοινοβουλίου και του Συμβουλίου η οποία </w:t>
      </w:r>
      <w:r w:rsidRPr="008433FB">
        <w:lastRenderedPageBreak/>
        <w:t>επισυνάπτεται στο παρόν ψήφισμα·</w:t>
      </w:r>
    </w:p>
    <w:p w:rsidR="00A529CB" w:rsidRPr="008433FB" w:rsidRDefault="00A529CB" w:rsidP="00A529CB">
      <w:pPr>
        <w:pStyle w:val="NormalHanging12a"/>
      </w:pPr>
      <w:r w:rsidRPr="008433FB">
        <w:t>4.</w:t>
      </w:r>
      <w:r w:rsidRPr="008433FB">
        <w:tab/>
        <w:t>διαπιστώνει ότι η πράξη εκδόθηκε σύμφωνα με τη θέση του Συμβουλίου·</w:t>
      </w:r>
    </w:p>
    <w:p w:rsidR="00A529CB" w:rsidRPr="008433FB" w:rsidRDefault="00A529CB" w:rsidP="00A529CB">
      <w:pPr>
        <w:pStyle w:val="NormalHanging12a"/>
      </w:pPr>
      <w:r w:rsidRPr="008433FB">
        <w:t>5.</w:t>
      </w:r>
      <w:r w:rsidRPr="008433FB">
        <w:tab/>
        <w:t>αναθέτει στην Πρόεδρό του να υπογράψει την πράξη, μαζί με τον Πρόεδρο του Συμβουλίου, σύμφωνα με το άρθρο 297 παράγραφος 1 της Συνθήκης για τη λειτουργία της Ευρωπαϊκής Ένωσης·</w:t>
      </w:r>
    </w:p>
    <w:p w:rsidR="00A529CB" w:rsidRPr="008433FB" w:rsidRDefault="00A529CB" w:rsidP="00A529CB">
      <w:pPr>
        <w:pStyle w:val="NormalHanging12a"/>
      </w:pPr>
      <w:r w:rsidRPr="008433FB">
        <w:t>6.</w:t>
      </w:r>
      <w:r w:rsidRPr="008433FB">
        <w:tab/>
        <w:t xml:space="preserve">αναθέτει στον Γενικό Γραμματέα του να υπογράψει την πράξη, αφού προηγουμένως ελεγχθεί ότι όλες οι διαδικασίες έχουν ολοκληρωθεί δεόντως, και να προβεί, σε συμφωνία με τη Γενική Γραμματέα του Συμβουλίου, στη δημοσίευσή της στην </w:t>
      </w:r>
      <w:r w:rsidRPr="008433FB">
        <w:rPr>
          <w:i/>
          <w:iCs/>
        </w:rPr>
        <w:t>Επίσημη Εφημερίδα της Ευρωπαϊκής Ένωσης</w:t>
      </w:r>
      <w:r w:rsidRPr="008433FB">
        <w:t>·</w:t>
      </w:r>
    </w:p>
    <w:p w:rsidR="00A529CB" w:rsidRPr="008433FB" w:rsidRDefault="00A529CB" w:rsidP="00A529CB">
      <w:pPr>
        <w:pStyle w:val="NormalHanging12a"/>
      </w:pPr>
      <w:r w:rsidRPr="008433FB">
        <w:t>7.</w:t>
      </w:r>
      <w:r w:rsidRPr="008433FB">
        <w:tab/>
        <w:t>αναθέτει στην Πρόεδρό του να διαβιβάσει τη θέση του Κοινοβουλίου στο Συμβούλιο, στην Επιτροπή και στα εθνικά κοινοβούλια.</w:t>
      </w:r>
    </w:p>
    <w:p w:rsidR="00A529CB" w:rsidRPr="008433FB" w:rsidRDefault="00A529CB" w:rsidP="00A529CB">
      <w:pPr>
        <w:pStyle w:val="PageHeading"/>
        <w:sectPr w:rsidR="00A529CB" w:rsidRPr="008433FB" w:rsidSect="00A17070">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rsidR="00A529CB" w:rsidRPr="008433FB" w:rsidRDefault="00A529CB" w:rsidP="008433FB">
      <w:pPr>
        <w:pStyle w:val="PageHeading"/>
        <w:spacing w:line="360" w:lineRule="auto"/>
        <w:jc w:val="right"/>
        <w:rPr>
          <w:rFonts w:ascii="Times New Roman" w:hAnsi="Times New Roman" w:cs="Times New Roman"/>
          <w:b w:val="0"/>
        </w:rPr>
      </w:pPr>
      <w:bookmarkStart w:id="8" w:name="_Toc358105115"/>
      <w:bookmarkStart w:id="9" w:name="_Toc180161998"/>
      <w:r w:rsidRPr="008433FB">
        <w:rPr>
          <w:rFonts w:ascii="Times New Roman" w:hAnsi="Times New Roman" w:cs="Times New Roman"/>
          <w:b w:val="0"/>
        </w:rPr>
        <w:lastRenderedPageBreak/>
        <w:t>ΠΑΡΑΡΤΗΜΑ ΣΤΟ ΝΟΜΟΘΕΤΙΚΟ ΨΗΦΙΣΜΑ</w:t>
      </w:r>
      <w:bookmarkEnd w:id="8"/>
      <w:bookmarkEnd w:id="9"/>
    </w:p>
    <w:p w:rsidR="00A529CB" w:rsidRPr="008433FB" w:rsidRDefault="00A529CB" w:rsidP="000F6F66">
      <w:pPr>
        <w:pStyle w:val="PageHeading"/>
        <w:spacing w:line="360" w:lineRule="auto"/>
        <w:rPr>
          <w:rFonts w:ascii="Times New Roman" w:hAnsi="Times New Roman" w:cs="Times New Roman"/>
        </w:rPr>
      </w:pPr>
      <w:bookmarkStart w:id="10" w:name="_Toc180161999"/>
      <w:r w:rsidRPr="008433FB">
        <w:rPr>
          <w:rFonts w:ascii="Times New Roman" w:hAnsi="Times New Roman" w:cs="Times New Roman"/>
        </w:rPr>
        <w:t>ΚΟΙΝΗ ΔΗΛΩΣΗ ΤΟΥ ΕΥΡΩΠΑΪΚΟΥ ΚΟΙΝΟΒΟΥΛΙΟΥ ΚΑΙ ΤΟΥ ΣΥΜΒΟΥΛΙΟΥ ΤΗΣ ΕΥΡΩΠΑΪΚΗΣ ΕΝΩΣΗΣ</w:t>
      </w:r>
      <w:bookmarkEnd w:id="10"/>
    </w:p>
    <w:p w:rsidR="00A529CB" w:rsidRPr="008433FB" w:rsidRDefault="00A529CB" w:rsidP="000F6F66">
      <w:pPr>
        <w:spacing w:after="240" w:line="360" w:lineRule="auto"/>
        <w:rPr>
          <w:color w:val="000000"/>
        </w:rPr>
      </w:pPr>
      <w:r w:rsidRPr="008433FB">
        <w:rPr>
          <w:color w:val="000000"/>
        </w:rPr>
        <w:t>Με την επιφύλαξη, αφενός, των προνομίων της αρμόδιας για τον προϋπολογισμό αρχής στο πλαίσιο της ετήσιας διαδικασίας του προϋπολογισμού και, αφετέρου, των εξουσιών της Επιτροπής να καταρτίζει το σχέδιο προϋπολογισμού, το Ευρωπαϊκό Κοινοβούλιο και το Συμβούλιο καλούν την Επιτροπή να προτείνει, στο πλαίσιο της ετήσιας διαδικασίας του προϋπολογισμού, τη δημιουργία πρόσθετης γραμμής του προϋπολογισμού για τη διοικητική υποστήριξη στο πλαίσιο του μηχανισμού «Συνδέοντας την Ευρώπη» (ΜΣΕ), η οποία θα χρηματοδοτείται από τις διαθέσιμες πιστώσεις του MΣΕ, όπως προσδιορίζονται στο νομοθετικό δημοσιονομικό δελτίο που παρέχει η Επιτροπή. Αυτή η νέα γραμμή του προϋπολογισμού θα καλύπτει το κόστος των συμβασιούχων υπαλλήλων και άλλες διοικητικές δαπάνες για τη γραμματεία του συμβουλίου επανεξέτασης των επιδόσεων, το συμβούλιο επανεξέτασης των επιδόσεων και το συμβούλιο συνεργασίας των εθνικών εποπτικών αρχών, όπως τεχνική βοήθεια, δαπάνες εμπειρογνωμόνων και συμβάσεις για παροχή δεδομένων, εξωτερικές μελέτες και πρόσθετες συμβουλευτικές υπηρεσίες, ενώ οι θέσεις του πίνακα προσωπικού θα χρηματοδοτούνται από τη γραμμή του προϋπολογισμού για τη διοίκηση στο πλαίσιο του τομέα 7, τηρουμένου στο ακέραιο του κανονισμού για το τρέχον πολυετές δημοσιονομικό πλαίσιο. Στο μέτρο του δυνατού, η χρηματοδότηση αυτή στο πλαίσιο του ΜΣΕ δεν θα πρέπει να θίγει τα κονδύλια που έχουν ήδη προβλεφθεί στο τελευταίο πρόγραμμα εργασιών του ΜΣΕ για τις μεταφορές.</w:t>
      </w:r>
    </w:p>
    <w:p w:rsidR="00A529CB" w:rsidRPr="008433FB" w:rsidRDefault="00A529CB" w:rsidP="000F6F66">
      <w:pPr>
        <w:spacing w:after="240" w:line="360" w:lineRule="auto"/>
        <w:rPr>
          <w:b/>
        </w:rPr>
      </w:pPr>
      <w:r w:rsidRPr="008433FB">
        <w:rPr>
          <w:color w:val="000000"/>
        </w:rPr>
        <w:t>Η χρηματοδότηση, στο πλαίσιο του ΜΣΕ, συμβασιούχων υπαλλήλων και άλλων διοικητικών δαπανών για τη γραμματεία του συμβουλίου επανεξέτασης των επιδόσεων, το συμβούλιο επανεξέτασης των επιδόσεων και το συμβούλιο συνεργασίας των εθνικών εποπτικών αρχών δεν θα πρέπει να δημιουργεί προηγούμενο για τη χρηματοδότηση της γραμματείας άλλων συμβουλίων. Δεν θα πρέπει να προδικάζει με κανέναν τρόπο τις χρηματοδοτικές ρυθμίσεις που θα συμφωνηθούν στο πλαίσιο του κανονισμού για το επόμενο πολυετές δημοσιονομικό πλαίσιο.</w:t>
      </w:r>
    </w:p>
    <w:p w:rsidR="00E365E1" w:rsidRPr="008433FB" w:rsidRDefault="00E365E1" w:rsidP="000F6F66">
      <w:pPr>
        <w:spacing w:line="360" w:lineRule="auto"/>
      </w:pPr>
      <w:bookmarkStart w:id="11" w:name="TextBodyEnd"/>
      <w:bookmarkStart w:id="12" w:name="_GoBack"/>
      <w:bookmarkEnd w:id="11"/>
      <w:bookmarkEnd w:id="12"/>
    </w:p>
    <w:sectPr w:rsidR="00E365E1" w:rsidRPr="008433FB" w:rsidSect="00A17070">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F2A" w:rsidRPr="00A17070" w:rsidRDefault="00455F2A">
      <w:r w:rsidRPr="00A17070">
        <w:separator/>
      </w:r>
    </w:p>
  </w:endnote>
  <w:endnote w:type="continuationSeparator" w:id="0">
    <w:p w:rsidR="00455F2A" w:rsidRPr="00A17070" w:rsidRDefault="00455F2A">
      <w:r w:rsidRPr="00A170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9CB" w:rsidRPr="00A17070" w:rsidRDefault="00A529CB" w:rsidP="00451621">
    <w:pPr>
      <w:pStyle w:val="EPFooter"/>
    </w:pPr>
    <w:r w:rsidRPr="00A17070">
      <w:t>PE</w:t>
    </w:r>
    <w:r w:rsidRPr="00A17070">
      <w:rPr>
        <w:rStyle w:val="HideTWBExt"/>
      </w:rPr>
      <w:t>&lt;NoPE&gt;</w:t>
    </w:r>
    <w:r w:rsidRPr="00A17070">
      <w:t>765.057</w:t>
    </w:r>
    <w:r w:rsidRPr="00A17070">
      <w:rPr>
        <w:rStyle w:val="HideTWBExt"/>
      </w:rPr>
      <w:t>&lt;/NoPE&gt;&lt;Version&gt;</w:t>
    </w:r>
    <w:r w:rsidRPr="00A17070">
      <w:t>v02-00</w:t>
    </w:r>
    <w:r w:rsidRPr="00A17070">
      <w:rPr>
        <w:rStyle w:val="HideTWBExt"/>
      </w:rPr>
      <w:t>&lt;/Version&gt;</w:t>
    </w:r>
    <w:r w:rsidRPr="00A17070">
      <w:tab/>
    </w:r>
    <w:r w:rsidRPr="00A17070">
      <w:fldChar w:fldCharType="begin"/>
    </w:r>
    <w:r w:rsidRPr="00A17070">
      <w:instrText xml:space="preserve"> PAGE  \* MERGEFORMAT </w:instrText>
    </w:r>
    <w:r w:rsidRPr="00A17070">
      <w:fldChar w:fldCharType="separate"/>
    </w:r>
    <w:r w:rsidR="00A17070" w:rsidRPr="00A17070">
      <w:rPr>
        <w:noProof/>
      </w:rPr>
      <w:t>2</w:t>
    </w:r>
    <w:r w:rsidRPr="00A17070">
      <w:fldChar w:fldCharType="end"/>
    </w:r>
    <w:r w:rsidRPr="00A17070">
      <w:t>/</w:t>
    </w:r>
    <w:fldSimple w:instr=" NUMPAGES  \* MERGEFORMAT ">
      <w:r w:rsidR="00A17070" w:rsidRPr="00A17070">
        <w:rPr>
          <w:noProof/>
        </w:rPr>
        <w:t>4</w:t>
      </w:r>
    </w:fldSimple>
    <w:r w:rsidRPr="00A17070">
      <w:tab/>
    </w:r>
    <w:r w:rsidRPr="00A17070">
      <w:rPr>
        <w:rStyle w:val="HideTWBExt"/>
      </w:rPr>
      <w:t>&lt;PathFdR&gt;</w:t>
    </w:r>
    <w:r w:rsidRPr="00A17070">
      <w:t>RR\1308713EL.docx</w:t>
    </w:r>
    <w:r w:rsidRPr="00A17070">
      <w:rPr>
        <w:rStyle w:val="HideTWBExt"/>
      </w:rPr>
      <w:t>&lt;/PathFdR&gt;</w:t>
    </w:r>
  </w:p>
  <w:p w:rsidR="00A529CB" w:rsidRPr="00A17070" w:rsidRDefault="00A529CB" w:rsidP="00451621">
    <w:pPr>
      <w:pStyle w:val="EPFooter2"/>
    </w:pPr>
    <w:r w:rsidRPr="00A17070">
      <w:t>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9CB" w:rsidRPr="00A17070" w:rsidRDefault="00A529CB" w:rsidP="00451621">
    <w:pPr>
      <w:pStyle w:val="EPFooter"/>
    </w:pPr>
    <w:r w:rsidRPr="00A17070">
      <w:rPr>
        <w:rStyle w:val="HideTWBExt"/>
      </w:rPr>
      <w:t>&lt;PathFdR&gt;</w:t>
    </w:r>
    <w:r w:rsidRPr="00A17070">
      <w:t>RR\1308713EL.docx</w:t>
    </w:r>
    <w:r w:rsidRPr="00A17070">
      <w:rPr>
        <w:rStyle w:val="HideTWBExt"/>
      </w:rPr>
      <w:t>&lt;/PathFdR&gt;</w:t>
    </w:r>
    <w:r w:rsidRPr="00A17070">
      <w:tab/>
    </w:r>
    <w:r w:rsidRPr="00A17070">
      <w:tab/>
      <w:t>PE</w:t>
    </w:r>
    <w:r w:rsidRPr="00A17070">
      <w:rPr>
        <w:rStyle w:val="HideTWBExt"/>
      </w:rPr>
      <w:t>&lt;NoPE&gt;</w:t>
    </w:r>
    <w:r w:rsidRPr="00A17070">
      <w:t>765.057</w:t>
    </w:r>
    <w:r w:rsidRPr="00A17070">
      <w:rPr>
        <w:rStyle w:val="HideTWBExt"/>
      </w:rPr>
      <w:t>&lt;/NoPE&gt;&lt;Version&gt;</w:t>
    </w:r>
    <w:r w:rsidRPr="00A17070">
      <w:t>v02-00</w:t>
    </w:r>
    <w:r w:rsidRPr="00A17070">
      <w:rPr>
        <w:rStyle w:val="HideTWBExt"/>
      </w:rPr>
      <w:t>&lt;/Version&gt;</w:t>
    </w:r>
  </w:p>
  <w:p w:rsidR="00A529CB" w:rsidRPr="00A17070" w:rsidRDefault="00A529CB" w:rsidP="00451621">
    <w:pPr>
      <w:pStyle w:val="EPFooter2"/>
    </w:pPr>
    <w:r w:rsidRPr="00A17070">
      <w:t>EL</w:t>
    </w:r>
    <w:r w:rsidRPr="00A17070">
      <w:tab/>
    </w:r>
    <w:r w:rsidRPr="00A17070">
      <w:rPr>
        <w:b w:val="0"/>
        <w:i/>
        <w:color w:val="C0C0C0"/>
        <w:sz w:val="22"/>
      </w:rPr>
      <w:t>Ενωμένη στην πολυμορφία</w:t>
    </w:r>
    <w:r w:rsidRPr="00A17070">
      <w:tab/>
      <w:t>EL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17070"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17070"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1707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F2A" w:rsidRPr="00A17070" w:rsidRDefault="00455F2A">
      <w:r w:rsidRPr="00A17070">
        <w:separator/>
      </w:r>
    </w:p>
  </w:footnote>
  <w:footnote w:type="continuationSeparator" w:id="0">
    <w:p w:rsidR="00455F2A" w:rsidRPr="00A17070" w:rsidRDefault="00455F2A">
      <w:r w:rsidRPr="00A17070">
        <w:continuationSeparator/>
      </w:r>
    </w:p>
  </w:footnote>
  <w:footnote w:id="1">
    <w:p w:rsidR="00A529CB" w:rsidRPr="00A17070" w:rsidRDefault="00A529CB" w:rsidP="00A17070">
      <w:pPr>
        <w:pStyle w:val="FootnoteText"/>
        <w:ind w:left="567" w:hanging="567"/>
        <w:rPr>
          <w:sz w:val="24"/>
          <w:lang w:val="el-GR"/>
        </w:rPr>
      </w:pPr>
      <w:r w:rsidRPr="00A17070">
        <w:rPr>
          <w:rStyle w:val="FootnoteReference"/>
          <w:sz w:val="24"/>
          <w:lang w:val="el-GR"/>
        </w:rPr>
        <w:footnoteRef/>
      </w:r>
      <w:r w:rsidR="00A17070" w:rsidRPr="00A17070">
        <w:rPr>
          <w:sz w:val="24"/>
          <w:lang w:val="el-GR"/>
        </w:rPr>
        <w:t xml:space="preserve"> </w:t>
      </w:r>
      <w:r w:rsidR="00A17070" w:rsidRPr="00A17070">
        <w:rPr>
          <w:sz w:val="24"/>
          <w:lang w:val="el-GR"/>
        </w:rPr>
        <w:tab/>
      </w:r>
      <w:r w:rsidRPr="00A17070">
        <w:rPr>
          <w:sz w:val="24"/>
          <w:lang w:val="el-GR"/>
        </w:rPr>
        <w:t>ΕΕ C 378 της 9.11.2017, σ.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1707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1707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1707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EL"/>
    <w:docVar w:name="dvnumam" w:val="0"/>
    <w:docVar w:name="dvpe" w:val="765.057"/>
    <w:docVar w:name="dvrapporteur" w:val="Εισηγητές: "/>
    <w:docVar w:name="dvtitre" w:val="Νομοθετικό ψήφισμα του Ευρωπαϊκού Κοινοβουλίου σχετικά με τη θέση του Συμβουλίου σε πρώτη ανάγνωση εν όψει της έκδοσης κανονισμού του Ευρωπαϊκού Κοινοβουλίου και του Συμβουλίου για την υλοποίηση του Ενιαίου Ευρωπαϊκού Ουρανού (αναδιατύπωση)(08311/2024 – C10-0114/2024 – 2013/0186(COD))"/>
  </w:docVars>
  <w:rsids>
    <w:rsidRoot w:val="00455F2A"/>
    <w:rsid w:val="00002272"/>
    <w:rsid w:val="00064002"/>
    <w:rsid w:val="000677B9"/>
    <w:rsid w:val="000831BA"/>
    <w:rsid w:val="000A42CC"/>
    <w:rsid w:val="000E7DD9"/>
    <w:rsid w:val="000F6F66"/>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55F2A"/>
    <w:rsid w:val="00471C19"/>
    <w:rsid w:val="004867E3"/>
    <w:rsid w:val="00494A28"/>
    <w:rsid w:val="004C0004"/>
    <w:rsid w:val="004C5D52"/>
    <w:rsid w:val="004F031F"/>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33FB"/>
    <w:rsid w:val="00865F67"/>
    <w:rsid w:val="00881A7B"/>
    <w:rsid w:val="008840E5"/>
    <w:rsid w:val="00887B3E"/>
    <w:rsid w:val="008C2AC6"/>
    <w:rsid w:val="00930C23"/>
    <w:rsid w:val="0093193B"/>
    <w:rsid w:val="009509D8"/>
    <w:rsid w:val="00950B64"/>
    <w:rsid w:val="00981893"/>
    <w:rsid w:val="00A1687D"/>
    <w:rsid w:val="00A17070"/>
    <w:rsid w:val="00A43E52"/>
    <w:rsid w:val="00A4678D"/>
    <w:rsid w:val="00A529CB"/>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4B50"/>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EA2DA"/>
  <w15:chartTrackingRefBased/>
  <w15:docId w15:val="{928179CD-84DF-46EC-B4BD-4C73B441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A529C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A529CB"/>
    <w:pPr>
      <w:spacing w:before="480" w:after="240"/>
    </w:pPr>
  </w:style>
  <w:style w:type="paragraph" w:customStyle="1" w:styleId="PageHeading">
    <w:name w:val="PageHeading"/>
    <w:basedOn w:val="Normal"/>
    <w:rsid w:val="00A529CB"/>
    <w:pPr>
      <w:keepNext/>
      <w:spacing w:after="480"/>
      <w:jc w:val="center"/>
    </w:pPr>
    <w:rPr>
      <w:rFonts w:ascii="Arial" w:hAnsi="Arial" w:cs="Arial"/>
      <w:b/>
    </w:rPr>
  </w:style>
  <w:style w:type="paragraph" w:customStyle="1" w:styleId="NormalBold">
    <w:name w:val="NormalBold"/>
    <w:basedOn w:val="Normal"/>
    <w:rsid w:val="00A529CB"/>
    <w:rPr>
      <w:b/>
    </w:rPr>
  </w:style>
  <w:style w:type="paragraph" w:customStyle="1" w:styleId="NormalHanging12a">
    <w:name w:val="NormalHanging12a"/>
    <w:basedOn w:val="Normal"/>
    <w:rsid w:val="00A529CB"/>
    <w:pPr>
      <w:spacing w:after="240"/>
      <w:ind w:left="567" w:hanging="567"/>
    </w:pPr>
  </w:style>
  <w:style w:type="paragraph" w:styleId="Header">
    <w:name w:val="header"/>
    <w:basedOn w:val="Normal"/>
    <w:link w:val="HeaderChar"/>
    <w:rsid w:val="00A529CB"/>
    <w:pPr>
      <w:tabs>
        <w:tab w:val="center" w:pos="4513"/>
        <w:tab w:val="right" w:pos="9026"/>
      </w:tabs>
    </w:pPr>
  </w:style>
  <w:style w:type="character" w:customStyle="1" w:styleId="HeaderChar">
    <w:name w:val="Header Char"/>
    <w:basedOn w:val="DefaultParagraphFont"/>
    <w:link w:val="Header"/>
    <w:rsid w:val="00A529CB"/>
    <w:rPr>
      <w:sz w:val="24"/>
      <w:lang w:val="el-GR"/>
    </w:rPr>
  </w:style>
  <w:style w:type="paragraph" w:customStyle="1" w:styleId="EPFooter">
    <w:name w:val="EPFooter"/>
    <w:basedOn w:val="Normal"/>
    <w:rsid w:val="00A529CB"/>
    <w:pPr>
      <w:tabs>
        <w:tab w:val="center" w:pos="4535"/>
        <w:tab w:val="right" w:pos="9071"/>
      </w:tabs>
      <w:spacing w:before="240" w:after="240"/>
    </w:pPr>
    <w:rPr>
      <w:color w:val="010000"/>
      <w:sz w:val="22"/>
    </w:rPr>
  </w:style>
  <w:style w:type="character" w:customStyle="1" w:styleId="italic">
    <w:name w:val="italic"/>
    <w:basedOn w:val="DefaultParagraphFont"/>
    <w:rsid w:val="00A529CB"/>
  </w:style>
  <w:style w:type="paragraph" w:styleId="Footer">
    <w:name w:val="footer"/>
    <w:basedOn w:val="Normal"/>
    <w:link w:val="FooterChar"/>
    <w:rsid w:val="000F6F66"/>
    <w:pPr>
      <w:tabs>
        <w:tab w:val="center" w:pos="4513"/>
        <w:tab w:val="right" w:pos="9026"/>
      </w:tabs>
    </w:pPr>
  </w:style>
  <w:style w:type="character" w:customStyle="1" w:styleId="FooterChar">
    <w:name w:val="Footer Char"/>
    <w:basedOn w:val="DefaultParagraphFont"/>
    <w:link w:val="Footer"/>
    <w:rsid w:val="000F6F66"/>
    <w:rPr>
      <w:sz w:val="24"/>
      <w:lang w:val="el-GR"/>
    </w:rPr>
  </w:style>
  <w:style w:type="paragraph" w:styleId="BalloonText">
    <w:name w:val="Balloon Text"/>
    <w:basedOn w:val="Normal"/>
    <w:link w:val="BalloonTextChar"/>
    <w:rsid w:val="000F6F66"/>
    <w:rPr>
      <w:rFonts w:ascii="Segoe UI" w:hAnsi="Segoe UI" w:cs="Segoe UI"/>
      <w:sz w:val="18"/>
      <w:szCs w:val="18"/>
    </w:rPr>
  </w:style>
  <w:style w:type="character" w:customStyle="1" w:styleId="BalloonTextChar">
    <w:name w:val="Balloon Text Char"/>
    <w:basedOn w:val="DefaultParagraphFont"/>
    <w:link w:val="BalloonText"/>
    <w:rsid w:val="000F6F66"/>
    <w:rPr>
      <w:rFonts w:ascii="Segoe UI" w:hAnsi="Segoe UI" w:cs="Segoe UI"/>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7135-A805-4483-8E02-27D0B2610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KOLOKYTHIA Amalia</cp:lastModifiedBy>
  <cp:revision>2</cp:revision>
  <cp:lastPrinted>2004-11-19T15:42:00Z</cp:lastPrinted>
  <dcterms:created xsi:type="dcterms:W3CDTF">2024-10-22T10:23:00Z</dcterms:created>
  <dcterms:modified xsi:type="dcterms:W3CDTF">2024-10-22T10:23:00Z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A10-0010/2024</vt:lpwstr>
  </property>
  <property fmtid="{D5CDD505-2E9C-101B-9397-08002B2CF9AE}" pid="4" name="&lt;Type&gt;">
    <vt:lpwstr>RR</vt:lpwstr>
  </property>
</Properties>
</file>