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80267" w:rsidTr="0010095E">
        <w:trPr>
          <w:trHeight w:hRule="exact" w:val="1418"/>
        </w:trPr>
        <w:tc>
          <w:tcPr>
            <w:tcW w:w="6804" w:type="dxa"/>
            <w:shd w:val="clear" w:color="auto" w:fill="auto"/>
            <w:vAlign w:val="center"/>
          </w:tcPr>
          <w:p w:rsidR="00751A4A" w:rsidRPr="00F80267" w:rsidRDefault="00CB7E86" w:rsidP="0010095E">
            <w:pPr>
              <w:pStyle w:val="EPName"/>
            </w:pPr>
            <w:r w:rsidRPr="00F80267">
              <w:t>Euroopa Parlament</w:t>
            </w:r>
          </w:p>
          <w:p w:rsidR="00751A4A" w:rsidRPr="00F80267" w:rsidRDefault="005F1B17" w:rsidP="005F1B17">
            <w:pPr>
              <w:pStyle w:val="EPTerm"/>
              <w:rPr>
                <w:rStyle w:val="HideTWBExt"/>
                <w:noProof w:val="0"/>
                <w:vanish w:val="0"/>
                <w:color w:val="auto"/>
              </w:rPr>
            </w:pPr>
            <w:r w:rsidRPr="00F80267">
              <w:t>2024</w:t>
            </w:r>
            <w:r w:rsidR="00817416" w:rsidRPr="00F80267">
              <w:t>-202</w:t>
            </w:r>
            <w:r w:rsidRPr="00F80267">
              <w:t>9</w:t>
            </w:r>
          </w:p>
        </w:tc>
        <w:tc>
          <w:tcPr>
            <w:tcW w:w="2268" w:type="dxa"/>
            <w:shd w:val="clear" w:color="auto" w:fill="auto"/>
          </w:tcPr>
          <w:p w:rsidR="00751A4A" w:rsidRPr="00F80267" w:rsidRDefault="00187494" w:rsidP="0010095E">
            <w:pPr>
              <w:pStyle w:val="EPLogo"/>
            </w:pPr>
            <w:r w:rsidRPr="00F8026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80267" w:rsidRDefault="00D058B8" w:rsidP="004C5D52">
      <w:pPr>
        <w:pStyle w:val="LineTop"/>
      </w:pPr>
    </w:p>
    <w:p w:rsidR="00680577" w:rsidRPr="00F80267" w:rsidRDefault="00CB7E86" w:rsidP="00680577">
      <w:pPr>
        <w:pStyle w:val="EPBodyTA1"/>
      </w:pPr>
      <w:r w:rsidRPr="00F80267">
        <w:t>VASTUVÕETUD TEKSTID</w:t>
      </w:r>
    </w:p>
    <w:p w:rsidR="00D058B8" w:rsidRPr="00F80267" w:rsidRDefault="00D058B8" w:rsidP="00D058B8">
      <w:pPr>
        <w:pStyle w:val="LineBottom"/>
      </w:pPr>
    </w:p>
    <w:p w:rsidR="00CB7E86" w:rsidRPr="00F80267" w:rsidRDefault="00CB7E86" w:rsidP="00CB7E86">
      <w:pPr>
        <w:pStyle w:val="ATHeading1"/>
      </w:pPr>
      <w:bookmarkStart w:id="0" w:name="TANumber"/>
      <w:r w:rsidRPr="00F80267">
        <w:t>P10_TA(2024)00</w:t>
      </w:r>
      <w:r w:rsidR="00575385" w:rsidRPr="00F80267">
        <w:t>22</w:t>
      </w:r>
      <w:bookmarkEnd w:id="0"/>
    </w:p>
    <w:p w:rsidR="00CB7E86" w:rsidRPr="00F80267" w:rsidRDefault="00CB7E86" w:rsidP="00CB7E86">
      <w:pPr>
        <w:pStyle w:val="ATHeading2"/>
      </w:pPr>
      <w:bookmarkStart w:id="1" w:name="title"/>
      <w:r w:rsidRPr="00F80267">
        <w:t>Ühtse Euroopa taeva algatuse rakendamine (uuesti sõnastatud)</w:t>
      </w:r>
      <w:bookmarkEnd w:id="1"/>
    </w:p>
    <w:p w:rsidR="00CB7E86" w:rsidRPr="00F80267" w:rsidRDefault="00CB7E86" w:rsidP="00CB7E86">
      <w:pPr>
        <w:rPr>
          <w:i/>
          <w:vanish/>
        </w:rPr>
      </w:pPr>
      <w:r w:rsidRPr="00F80267">
        <w:rPr>
          <w:i/>
        </w:rPr>
        <w:fldChar w:fldCharType="begin"/>
      </w:r>
      <w:r w:rsidRPr="00F80267">
        <w:rPr>
          <w:i/>
        </w:rPr>
        <w:instrText xml:space="preserve"> TC"(</w:instrText>
      </w:r>
      <w:bookmarkStart w:id="2" w:name="DocNumber"/>
      <w:r w:rsidRPr="00F80267">
        <w:rPr>
          <w:i/>
        </w:rPr>
        <w:instrText>A10-0010/2024</w:instrText>
      </w:r>
      <w:bookmarkEnd w:id="2"/>
      <w:r w:rsidRPr="00F80267">
        <w:rPr>
          <w:i/>
        </w:rPr>
        <w:instrText xml:space="preserve"> - Raportöörid: Jens Gieseke, Johan Danielsson)"\l3 \n&gt; \* MERGEFORMAT </w:instrText>
      </w:r>
      <w:r w:rsidRPr="00F80267">
        <w:rPr>
          <w:i/>
        </w:rPr>
        <w:fldChar w:fldCharType="end"/>
      </w:r>
    </w:p>
    <w:p w:rsidR="00CB7E86" w:rsidRPr="00F80267" w:rsidRDefault="00CB7E86" w:rsidP="00CB7E86">
      <w:pPr>
        <w:rPr>
          <w:vanish/>
        </w:rPr>
      </w:pPr>
      <w:bookmarkStart w:id="3" w:name="Commission"/>
      <w:r w:rsidRPr="00F80267">
        <w:rPr>
          <w:vanish/>
        </w:rPr>
        <w:t>Transpordi- ja turismikomisjon</w:t>
      </w:r>
      <w:bookmarkEnd w:id="3"/>
    </w:p>
    <w:p w:rsidR="00CB7E86" w:rsidRPr="00F80267" w:rsidRDefault="00CB7E86" w:rsidP="00CB7E86">
      <w:pPr>
        <w:rPr>
          <w:vanish/>
        </w:rPr>
      </w:pPr>
      <w:bookmarkStart w:id="4" w:name="PE"/>
      <w:r w:rsidRPr="00F80267">
        <w:rPr>
          <w:vanish/>
        </w:rPr>
        <w:t>PE765.057</w:t>
      </w:r>
      <w:bookmarkEnd w:id="4"/>
    </w:p>
    <w:p w:rsidR="00CB7E86" w:rsidRPr="00F80267" w:rsidRDefault="008D69B6" w:rsidP="00CB7E86">
      <w:pPr>
        <w:pStyle w:val="ATHeading3"/>
      </w:pPr>
      <w:bookmarkStart w:id="5" w:name="Sujet"/>
      <w:r w:rsidRPr="00F80267">
        <w:t>Euroopa Parlamendi 22</w:t>
      </w:r>
      <w:r w:rsidR="00CB7E86" w:rsidRPr="00F80267">
        <w:t>.</w:t>
      </w:r>
      <w:r w:rsidRPr="00F80267">
        <w:t> oktoobri 2024. </w:t>
      </w:r>
      <w:r w:rsidR="00CB7E86" w:rsidRPr="00F80267">
        <w:t>aasta seadusandlik resolutsioon nõukogu esimese lugemise seisukoha kohta eesmärgiga võtta vastu Euroopa Parlamendi ja nõukogu määrus ühtse Euroopa taeva algatuse rakendamise kohta (uuesti sõnastatud)</w:t>
      </w:r>
      <w:bookmarkEnd w:id="5"/>
      <w:r w:rsidR="00CB7E86" w:rsidRPr="00F80267">
        <w:t xml:space="preserve"> </w:t>
      </w:r>
      <w:bookmarkStart w:id="6" w:name="References"/>
      <w:r w:rsidRPr="00F80267">
        <w:t>(08311/2024 – C10</w:t>
      </w:r>
      <w:r w:rsidRPr="00F80267">
        <w:noBreakHyphen/>
      </w:r>
      <w:r w:rsidR="00CB7E86" w:rsidRPr="00F80267">
        <w:t>0114/2024 – 2013/0186(COD))</w:t>
      </w:r>
      <w:bookmarkStart w:id="7" w:name="_GoBack"/>
      <w:bookmarkEnd w:id="6"/>
      <w:bookmarkEnd w:id="7"/>
    </w:p>
    <w:p w:rsidR="00523B36" w:rsidRPr="00F80267" w:rsidRDefault="00523B36" w:rsidP="00523B36">
      <w:pPr>
        <w:pStyle w:val="NormalBold"/>
      </w:pPr>
      <w:bookmarkStart w:id="8" w:name="TextBodyBegin"/>
      <w:bookmarkEnd w:id="8"/>
      <w:r w:rsidRPr="00F80267">
        <w:t>(Seadusandlik tavamenetlus: teine lugemine)</w:t>
      </w:r>
    </w:p>
    <w:p w:rsidR="00523B36" w:rsidRPr="00F80267" w:rsidRDefault="00523B36" w:rsidP="00523B36">
      <w:pPr>
        <w:pStyle w:val="EPComma"/>
      </w:pPr>
      <w:r w:rsidRPr="00F80267">
        <w:rPr>
          <w:i/>
        </w:rPr>
        <w:t>Euroopa Parlament</w:t>
      </w:r>
      <w:r w:rsidRPr="00F80267">
        <w:t>,</w:t>
      </w:r>
    </w:p>
    <w:p w:rsidR="00523B36" w:rsidRPr="00F80267" w:rsidRDefault="00523B36" w:rsidP="00523B36">
      <w:pPr>
        <w:pStyle w:val="NormalHanging12a"/>
      </w:pPr>
      <w:r w:rsidRPr="00F80267">
        <w:t>–</w:t>
      </w:r>
      <w:r w:rsidRPr="00F80267">
        <w:tab/>
        <w:t>võttes arvesse nõukogu esimese lugemise seisukohta (08311/2024 – C10</w:t>
      </w:r>
      <w:r w:rsidRPr="00F80267">
        <w:noBreakHyphen/>
        <w:t>0114/2024),</w:t>
      </w:r>
    </w:p>
    <w:p w:rsidR="00523B36" w:rsidRPr="00F80267" w:rsidRDefault="00523B36" w:rsidP="00523B36">
      <w:pPr>
        <w:pStyle w:val="NormalHanging12a"/>
      </w:pPr>
      <w:r w:rsidRPr="00F80267">
        <w:t>–</w:t>
      </w:r>
      <w:r w:rsidRPr="00F80267">
        <w:tab/>
        <w:t>võttes arvesse oma esimese lugemise seisukohta</w:t>
      </w:r>
      <w:r w:rsidRPr="00F80267">
        <w:rPr>
          <w:rStyle w:val="FootnoteReference"/>
        </w:rPr>
        <w:footnoteReference w:id="1"/>
      </w:r>
      <w:r w:rsidRPr="00F80267">
        <w:t xml:space="preserve"> Euroopa Parlamendile ja nõukogule esitatud komisjoni ettepaneku (COM(2013)0410) suhtes,</w:t>
      </w:r>
    </w:p>
    <w:p w:rsidR="00523B36" w:rsidRPr="00F80267" w:rsidRDefault="00523B36" w:rsidP="00523B36">
      <w:pPr>
        <w:pStyle w:val="NormalHanging12a"/>
      </w:pPr>
      <w:r w:rsidRPr="00F80267">
        <w:t>–</w:t>
      </w:r>
      <w:r w:rsidRPr="00F80267">
        <w:tab/>
        <w:t>võttes arvesse komisjoni muudetud ettepanekut (COM(2020)0579),</w:t>
      </w:r>
    </w:p>
    <w:p w:rsidR="00523B36" w:rsidRPr="00F80267" w:rsidRDefault="00523B36" w:rsidP="00523B36">
      <w:pPr>
        <w:pStyle w:val="NormalHanging12a"/>
      </w:pPr>
      <w:r w:rsidRPr="00F80267">
        <w:t>–</w:t>
      </w:r>
      <w:r w:rsidRPr="00F80267">
        <w:tab/>
        <w:t>võttes arvesse komisjoni ettepanekut Euroopa Parlamendile ja nõukogule (COM(2020)0577 – 2020/0264(COD)),</w:t>
      </w:r>
    </w:p>
    <w:p w:rsidR="00523B36" w:rsidRPr="00F80267" w:rsidRDefault="00523B36" w:rsidP="00523B36">
      <w:pPr>
        <w:pStyle w:val="NormalHanging12a"/>
      </w:pPr>
      <w:r w:rsidRPr="00F80267">
        <w:t>–</w:t>
      </w:r>
      <w:r w:rsidRPr="00F80267">
        <w:tab/>
        <w:t xml:space="preserve">võttes arvesse Euroopa </w:t>
      </w:r>
      <w:r w:rsidR="008D69B6" w:rsidRPr="00F80267">
        <w:t>Liidu toimimise lepingu artikli 294 lõiget </w:t>
      </w:r>
      <w:r w:rsidRPr="00F80267">
        <w:t>7,</w:t>
      </w:r>
    </w:p>
    <w:p w:rsidR="00523B36" w:rsidRPr="00F80267" w:rsidRDefault="00523B36" w:rsidP="00523B36">
      <w:pPr>
        <w:pStyle w:val="NormalHanging12a"/>
      </w:pPr>
      <w:r w:rsidRPr="00F80267">
        <w:t>–</w:t>
      </w:r>
      <w:r w:rsidRPr="00F80267">
        <w:tab/>
        <w:t>võ</w:t>
      </w:r>
      <w:r w:rsidR="008D69B6" w:rsidRPr="00F80267">
        <w:t>ttes arvesse kodukorra artiklit </w:t>
      </w:r>
      <w:r w:rsidRPr="00F80267">
        <w:t>68,</w:t>
      </w:r>
    </w:p>
    <w:p w:rsidR="00523B36" w:rsidRPr="00F80267" w:rsidRDefault="00523B36" w:rsidP="00523B36">
      <w:pPr>
        <w:pStyle w:val="NormalHanging12a"/>
      </w:pPr>
      <w:r w:rsidRPr="00F80267">
        <w:t>–</w:t>
      </w:r>
      <w:r w:rsidRPr="00F80267">
        <w:tab/>
        <w:t>võttes arvesse transpordi- ja turismikomisjoni so</w:t>
      </w:r>
      <w:r w:rsidR="008D69B6" w:rsidRPr="00F80267">
        <w:t>ovitust teisele lugemisele (A10</w:t>
      </w:r>
      <w:r w:rsidR="008D69B6" w:rsidRPr="00F80267">
        <w:noBreakHyphen/>
      </w:r>
      <w:r w:rsidRPr="00F80267">
        <w:t>0010/2024),</w:t>
      </w:r>
    </w:p>
    <w:p w:rsidR="00523B36" w:rsidRPr="00F80267" w:rsidRDefault="00523B36" w:rsidP="00523B36">
      <w:pPr>
        <w:pStyle w:val="NormalHanging12a"/>
      </w:pPr>
      <w:r w:rsidRPr="00F80267">
        <w:t>1.</w:t>
      </w:r>
      <w:r w:rsidRPr="00F80267">
        <w:tab/>
        <w:t>kiidab nõukogu esimese lugemise seisukoha heaks;</w:t>
      </w:r>
    </w:p>
    <w:p w:rsidR="00523B36" w:rsidRPr="00F80267" w:rsidRDefault="00523B36" w:rsidP="00523B36">
      <w:pPr>
        <w:pStyle w:val="NormalHanging12a"/>
      </w:pPr>
      <w:r w:rsidRPr="00F80267">
        <w:t>2.</w:t>
      </w:r>
      <w:r w:rsidRPr="00F80267">
        <w:tab/>
        <w:t>on seisukohal, et kuna komisjoni ettepaneku COM(2020)0577 sisu on sellesse seisukohta lisatud, on seadusandlik menetlus 2020/0264(COD) aegunud;</w:t>
      </w:r>
    </w:p>
    <w:p w:rsidR="00523B36" w:rsidRPr="00F80267" w:rsidRDefault="00523B36" w:rsidP="00523B36">
      <w:pPr>
        <w:pStyle w:val="NormalHanging12a"/>
      </w:pPr>
      <w:r w:rsidRPr="00F80267">
        <w:t>3.</w:t>
      </w:r>
      <w:r w:rsidRPr="00F80267">
        <w:tab/>
        <w:t xml:space="preserve">kiidab heaks käesolevale resolutsioonile lisatud Euroopa Parlamendi ja nõukogu </w:t>
      </w:r>
      <w:r w:rsidRPr="00F80267">
        <w:lastRenderedPageBreak/>
        <w:t>ühisavaldus</w:t>
      </w:r>
      <w:r w:rsidR="008E7B87" w:rsidRPr="00F80267">
        <w:t>e</w:t>
      </w:r>
      <w:r w:rsidRPr="00F80267">
        <w:t>;</w:t>
      </w:r>
    </w:p>
    <w:p w:rsidR="00523B36" w:rsidRPr="00F80267" w:rsidRDefault="00523B36" w:rsidP="00523B36">
      <w:pPr>
        <w:pStyle w:val="NormalHanging12a"/>
      </w:pPr>
      <w:r w:rsidRPr="00F80267">
        <w:t>4.</w:t>
      </w:r>
      <w:r w:rsidRPr="00F80267">
        <w:tab/>
        <w:t>märgib, et seadusandlik akt võetakse vastu kooskõlas nõukogu seisukohaga;</w:t>
      </w:r>
    </w:p>
    <w:p w:rsidR="00523B36" w:rsidRPr="00F80267" w:rsidRDefault="00523B36" w:rsidP="00523B36">
      <w:pPr>
        <w:pStyle w:val="NormalHanging12a"/>
      </w:pPr>
      <w:r w:rsidRPr="00F80267">
        <w:t>5.</w:t>
      </w:r>
      <w:r w:rsidRPr="00F80267">
        <w:tab/>
        <w:t>teeb presidendile ülesandeks kirjutada koos nõukogu eesistujaga seadusandlikule aktile alla vastavalt Euroopa Liidu toimimise lepingu artikli 297 lõikele 1;</w:t>
      </w:r>
    </w:p>
    <w:p w:rsidR="00523B36" w:rsidRPr="00F80267" w:rsidRDefault="00523B36" w:rsidP="00523B36">
      <w:pPr>
        <w:pStyle w:val="NormalHanging12a"/>
      </w:pPr>
      <w:r w:rsidRPr="00F80267">
        <w:t>6.</w:t>
      </w:r>
      <w:r w:rsidRPr="00F80267">
        <w:tab/>
        <w:t xml:space="preserve">teeb peasekretärile ülesandeks pärast kõikide menetluste nõuetekohase läbiviimise kontrollimist seadusandlikule aktile alla kirjutada ja korraldada kokkuleppel nõukogu peasekretäriga selle avaldamine </w:t>
      </w:r>
      <w:r w:rsidRPr="00F80267">
        <w:rPr>
          <w:i/>
        </w:rPr>
        <w:t>Euroopa Liidu Teatajas</w:t>
      </w:r>
      <w:r w:rsidRPr="00F80267">
        <w:t>;</w:t>
      </w:r>
    </w:p>
    <w:p w:rsidR="00523B36" w:rsidRPr="00F80267" w:rsidRDefault="00523B36" w:rsidP="00523B36">
      <w:pPr>
        <w:pStyle w:val="NormalHanging12a"/>
      </w:pPr>
      <w:r w:rsidRPr="00F80267">
        <w:t>7.</w:t>
      </w:r>
      <w:r w:rsidRPr="00F80267">
        <w:tab/>
        <w:t>teeb presidendile ülesandeks edastada Euroopa Parlamendi seisukoht nõukogule ja komisjonile ning liikmesriikide parlamentidele.</w:t>
      </w:r>
    </w:p>
    <w:p w:rsidR="00523B36" w:rsidRPr="00F80267" w:rsidRDefault="00523B36" w:rsidP="00523B36"/>
    <w:p w:rsidR="00523B36" w:rsidRPr="00F80267" w:rsidRDefault="00523B36" w:rsidP="00523B36"/>
    <w:p w:rsidR="00523B36" w:rsidRPr="00F80267" w:rsidRDefault="00523B36" w:rsidP="00523B36">
      <w:pPr>
        <w:pStyle w:val="PageHeading"/>
        <w:sectPr w:rsidR="00523B36" w:rsidRPr="00F80267" w:rsidSect="00F230F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523B36" w:rsidRPr="00F80267" w:rsidRDefault="00523B36" w:rsidP="008D69B6">
      <w:pPr>
        <w:pStyle w:val="PageHeading"/>
        <w:jc w:val="right"/>
        <w:rPr>
          <w:rFonts w:ascii="Times New Roman" w:hAnsi="Times New Roman" w:cs="Times New Roman"/>
          <w:b w:val="0"/>
        </w:rPr>
      </w:pPr>
      <w:bookmarkStart w:id="9" w:name="_Toc358105115"/>
      <w:bookmarkStart w:id="10" w:name="_Toc180153717"/>
      <w:r w:rsidRPr="00F80267">
        <w:rPr>
          <w:rFonts w:ascii="Times New Roman" w:hAnsi="Times New Roman" w:cs="Times New Roman"/>
          <w:b w:val="0"/>
        </w:rPr>
        <w:lastRenderedPageBreak/>
        <w:t>SEADUSANDLIKU RESOLUTSIOONI LISA</w:t>
      </w:r>
      <w:bookmarkEnd w:id="9"/>
      <w:bookmarkEnd w:id="10"/>
    </w:p>
    <w:p w:rsidR="00523B36" w:rsidRPr="00F80267" w:rsidRDefault="00523B36" w:rsidP="00523B36">
      <w:pPr>
        <w:pStyle w:val="PageHeading"/>
        <w:rPr>
          <w:rFonts w:ascii="Times New Roman" w:hAnsi="Times New Roman" w:cs="Times New Roman"/>
        </w:rPr>
      </w:pPr>
      <w:bookmarkStart w:id="11" w:name="_Toc180153718"/>
      <w:r w:rsidRPr="00F80267">
        <w:rPr>
          <w:rFonts w:ascii="Times New Roman" w:hAnsi="Times New Roman" w:cs="Times New Roman"/>
        </w:rPr>
        <w:t>EUROOPA PARLAMENDI JA EUROOPA LIIDU NÕUKOGU ÜHISAVALDUS</w:t>
      </w:r>
      <w:bookmarkEnd w:id="11"/>
    </w:p>
    <w:p w:rsidR="00523B36" w:rsidRPr="00F80267" w:rsidRDefault="00523B36" w:rsidP="008D69B6">
      <w:pPr>
        <w:spacing w:after="240"/>
        <w:rPr>
          <w:color w:val="000000"/>
        </w:rPr>
      </w:pPr>
      <w:r w:rsidRPr="00F80267">
        <w:rPr>
          <w:color w:val="000000"/>
        </w:rPr>
        <w:t xml:space="preserve">Ilma et see piiraks eelarvepädevate institutsioonide õigusi iga-aastase eelarvemenetluse raames ja komisjoni volitusi eelarveprojekti koostamisel, paluvad Euroopa Parlament ja nõukogu komisjonil teha iga-aastase eelarvemenetluse raames ettepanek luua Euroopa ühendamise rahastu eelarves täiendav haldustoetuse eelarverida, mida rahastatakse Euroopa ühendamise rahastu kasutada olevatest assigneeringutest, mis on kindlaks määratud komisjoni ettepanekule lisatud finantsselgituses. See uus eelarverida kataks lepinguliste töötajate kulud ja muud </w:t>
      </w:r>
      <w:proofErr w:type="spellStart"/>
      <w:r w:rsidRPr="00F80267">
        <w:rPr>
          <w:color w:val="000000"/>
        </w:rPr>
        <w:t>tulemushindamiskogu</w:t>
      </w:r>
      <w:proofErr w:type="spellEnd"/>
      <w:r w:rsidRPr="00F80267">
        <w:rPr>
          <w:color w:val="000000"/>
        </w:rPr>
        <w:t xml:space="preserve"> sekretariaadi, </w:t>
      </w:r>
      <w:proofErr w:type="spellStart"/>
      <w:r w:rsidRPr="00F80267">
        <w:rPr>
          <w:color w:val="000000"/>
        </w:rPr>
        <w:t>tulemushindamiskogu</w:t>
      </w:r>
      <w:proofErr w:type="spellEnd"/>
      <w:r w:rsidRPr="00F80267">
        <w:rPr>
          <w:color w:val="000000"/>
        </w:rPr>
        <w:t xml:space="preserve"> ja liikmesriikide järelevalveasutuste koostöönõukogu halduskulud, mis on seotud näiteks tehnilise abiga, eksperdikuludega, andmete esitamise lepingutega, </w:t>
      </w:r>
      <w:proofErr w:type="spellStart"/>
      <w:r w:rsidRPr="00F80267">
        <w:rPr>
          <w:color w:val="000000"/>
        </w:rPr>
        <w:t>välisuuringutega</w:t>
      </w:r>
      <w:proofErr w:type="spellEnd"/>
      <w:r w:rsidRPr="00F80267">
        <w:rPr>
          <w:color w:val="000000"/>
        </w:rPr>
        <w:t xml:space="preserve"> ja täiendavate nõustamisteenustega, samas kui ametikohtade loetelus sisalduvaid a</w:t>
      </w:r>
      <w:r w:rsidR="008D69B6" w:rsidRPr="00F80267">
        <w:rPr>
          <w:color w:val="000000"/>
        </w:rPr>
        <w:t>metikohti rahastatakse rubriigi </w:t>
      </w:r>
      <w:r w:rsidRPr="00F80267">
        <w:rPr>
          <w:color w:val="000000"/>
        </w:rPr>
        <w:t>7 halduskulude eelarverealt, järgides täielikult kehtivat mitmeaastase finantsraamistiku määrust. Niivõrd kui see on võimalik, ei tohiks selline Euroopa ühendamise rahastust rahastamine mõjutada vahendeid, mis on juba ette nähtud viimases Euroopa ühendamise rahastu transpordialases tööprogrammis.</w:t>
      </w:r>
    </w:p>
    <w:p w:rsidR="00523B36" w:rsidRPr="00F80267" w:rsidRDefault="00523B36" w:rsidP="008D69B6">
      <w:pPr>
        <w:spacing w:after="240"/>
        <w:rPr>
          <w:b/>
        </w:rPr>
      </w:pPr>
      <w:proofErr w:type="spellStart"/>
      <w:r w:rsidRPr="00F80267">
        <w:rPr>
          <w:color w:val="000000"/>
        </w:rPr>
        <w:t>Tulemushindamiskogu</w:t>
      </w:r>
      <w:proofErr w:type="spellEnd"/>
      <w:r w:rsidRPr="00F80267">
        <w:rPr>
          <w:color w:val="000000"/>
        </w:rPr>
        <w:t xml:space="preserve"> sekretariaadi, </w:t>
      </w:r>
      <w:proofErr w:type="spellStart"/>
      <w:r w:rsidRPr="00F80267">
        <w:rPr>
          <w:color w:val="000000"/>
        </w:rPr>
        <w:t>tulemushindamiskogu</w:t>
      </w:r>
      <w:proofErr w:type="spellEnd"/>
      <w:r w:rsidRPr="00F80267">
        <w:rPr>
          <w:color w:val="000000"/>
        </w:rPr>
        <w:t xml:space="preserve"> ja liikmesriikide järelevalveasutuste koostöönõukogu lepinguliste töötajate ja muude halduskulude rahastamine Euroopa ühendamise rahastust ei tohiks luua pretsedenti teiste nõukogude sekretariaadi rahastamiseks. See ei tohiks mingil viisil mõjutada järgmise mitmeaastase finantsraamistiku määruse raames kokkulepitavat rahastamiskorda.</w:t>
      </w:r>
    </w:p>
    <w:p w:rsidR="00523B36" w:rsidRPr="00F80267" w:rsidRDefault="00523B36" w:rsidP="00523B36"/>
    <w:p w:rsidR="00E365E1" w:rsidRPr="00F80267" w:rsidRDefault="00E365E1" w:rsidP="00CB7E86">
      <w:bookmarkStart w:id="12" w:name="TextBodyEnd"/>
      <w:bookmarkEnd w:id="12"/>
    </w:p>
    <w:sectPr w:rsidR="00E365E1" w:rsidRPr="00F80267" w:rsidSect="00F230FA">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E86" w:rsidRPr="00F230FA" w:rsidRDefault="00CB7E86">
      <w:r w:rsidRPr="00F230FA">
        <w:separator/>
      </w:r>
    </w:p>
  </w:endnote>
  <w:endnote w:type="continuationSeparator" w:id="0">
    <w:p w:rsidR="00CB7E86" w:rsidRPr="00F230FA" w:rsidRDefault="00CB7E86">
      <w:r w:rsidRPr="00F23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rsidP="001756AF">
    <w:pPr>
      <w:pStyle w:val="EPFooter"/>
    </w:pPr>
    <w:r w:rsidRPr="00F230FA">
      <w:t>PE</w:t>
    </w:r>
    <w:r w:rsidRPr="00F230FA">
      <w:rPr>
        <w:rStyle w:val="HideTWBExt"/>
      </w:rPr>
      <w:t>&lt;NoPE&gt;</w:t>
    </w:r>
    <w:r w:rsidRPr="00F230FA">
      <w:t>765.057</w:t>
    </w:r>
    <w:r w:rsidRPr="00F230FA">
      <w:rPr>
        <w:rStyle w:val="HideTWBExt"/>
      </w:rPr>
      <w:t>&lt;/NoPE&gt;&lt;Version&gt;</w:t>
    </w:r>
    <w:r w:rsidRPr="00F230FA">
      <w:t>v02-00</w:t>
    </w:r>
    <w:r w:rsidRPr="00F230FA">
      <w:rPr>
        <w:rStyle w:val="HideTWBExt"/>
      </w:rPr>
      <w:t>&lt;/Version&gt;</w:t>
    </w:r>
    <w:r w:rsidRPr="00F230FA">
      <w:tab/>
    </w:r>
    <w:r w:rsidRPr="00F230FA">
      <w:fldChar w:fldCharType="begin"/>
    </w:r>
    <w:r w:rsidRPr="00F230FA">
      <w:instrText xml:space="preserve"> PAGE  \* MERGEFORMAT </w:instrText>
    </w:r>
    <w:r w:rsidRPr="00F230FA">
      <w:fldChar w:fldCharType="separate"/>
    </w:r>
    <w:r w:rsidR="00F230FA" w:rsidRPr="00F230FA">
      <w:rPr>
        <w:noProof/>
      </w:rPr>
      <w:t>2</w:t>
    </w:r>
    <w:r w:rsidRPr="00F230FA">
      <w:fldChar w:fldCharType="end"/>
    </w:r>
    <w:r w:rsidRPr="00F230FA">
      <w:t>/</w:t>
    </w:r>
    <w:fldSimple w:instr=" NUMPAGES  \* MERGEFORMAT ">
      <w:r w:rsidR="00F230FA" w:rsidRPr="00F230FA">
        <w:rPr>
          <w:noProof/>
        </w:rPr>
        <w:t>4</w:t>
      </w:r>
    </w:fldSimple>
    <w:r w:rsidRPr="00F230FA">
      <w:tab/>
    </w:r>
    <w:r w:rsidRPr="00F230FA">
      <w:rPr>
        <w:rStyle w:val="HideTWBExt"/>
      </w:rPr>
      <w:t>&lt;PathFdR&gt;</w:t>
    </w:r>
    <w:r w:rsidRPr="00F230FA">
      <w:t>RR\1308713ET.docx</w:t>
    </w:r>
    <w:r w:rsidRPr="00F230FA">
      <w:rPr>
        <w:rStyle w:val="HideTWBExt"/>
      </w:rPr>
      <w:t>&lt;/PathFdR&gt;</w:t>
    </w:r>
  </w:p>
  <w:p w:rsidR="00523B36" w:rsidRPr="00F230FA" w:rsidRDefault="00523B36" w:rsidP="001756AF">
    <w:pPr>
      <w:pStyle w:val="EPFooter2"/>
    </w:pPr>
    <w:r w:rsidRPr="00F230FA">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rsidP="001756AF">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rsidP="001756AF">
    <w:pPr>
      <w:pStyle w:val="EPFooter"/>
    </w:pPr>
    <w:r w:rsidRPr="00F230FA">
      <w:rPr>
        <w:rStyle w:val="HideTWBExt"/>
      </w:rPr>
      <w:t>&lt;PathFdR&gt;</w:t>
    </w:r>
    <w:r w:rsidRPr="00F230FA">
      <w:t>RR\1308713ET.docx</w:t>
    </w:r>
    <w:r w:rsidRPr="00F230FA">
      <w:rPr>
        <w:rStyle w:val="HideTWBExt"/>
      </w:rPr>
      <w:t>&lt;/PathFdR&gt;</w:t>
    </w:r>
    <w:r w:rsidRPr="00F230FA">
      <w:tab/>
    </w:r>
    <w:r w:rsidRPr="00F230FA">
      <w:tab/>
      <w:t>PE</w:t>
    </w:r>
    <w:r w:rsidRPr="00F230FA">
      <w:rPr>
        <w:rStyle w:val="HideTWBExt"/>
      </w:rPr>
      <w:t>&lt;NoPE&gt;</w:t>
    </w:r>
    <w:r w:rsidRPr="00F230FA">
      <w:t>765.057</w:t>
    </w:r>
    <w:r w:rsidRPr="00F230FA">
      <w:rPr>
        <w:rStyle w:val="HideTWBExt"/>
      </w:rPr>
      <w:t>&lt;/NoPE&gt;&lt;Version&gt;</w:t>
    </w:r>
    <w:r w:rsidRPr="00F230FA">
      <w:t>v02-00</w:t>
    </w:r>
    <w:r w:rsidRPr="00F230FA">
      <w:rPr>
        <w:rStyle w:val="HideTWBExt"/>
      </w:rPr>
      <w:t>&lt;/Version&gt;</w:t>
    </w:r>
  </w:p>
  <w:p w:rsidR="00523B36" w:rsidRPr="00F230FA" w:rsidRDefault="00523B36" w:rsidP="001756AF">
    <w:pPr>
      <w:pStyle w:val="EPFooter2"/>
    </w:pPr>
    <w:r w:rsidRPr="00F230FA">
      <w:t>ET</w:t>
    </w:r>
    <w:r w:rsidRPr="00F230FA">
      <w:tab/>
    </w:r>
    <w:r w:rsidRPr="00F230FA">
      <w:rPr>
        <w:b w:val="0"/>
        <w:i/>
        <w:color w:val="C0C0C0"/>
        <w:sz w:val="22"/>
      </w:rPr>
      <w:t>Ühinenud mitmekesisuses</w:t>
    </w:r>
    <w:r w:rsidRPr="00F230FA">
      <w:tab/>
      <w:t>ET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E86" w:rsidRPr="00F230FA" w:rsidRDefault="00CB7E86">
      <w:r w:rsidRPr="00F230FA">
        <w:separator/>
      </w:r>
    </w:p>
  </w:footnote>
  <w:footnote w:type="continuationSeparator" w:id="0">
    <w:p w:rsidR="00CB7E86" w:rsidRPr="00F230FA" w:rsidRDefault="00CB7E86">
      <w:r w:rsidRPr="00F230FA">
        <w:continuationSeparator/>
      </w:r>
    </w:p>
  </w:footnote>
  <w:footnote w:id="1">
    <w:p w:rsidR="00523B36" w:rsidRPr="00F230FA" w:rsidRDefault="00523B36" w:rsidP="00F230FA">
      <w:pPr>
        <w:pStyle w:val="FootnoteText"/>
        <w:ind w:left="567" w:hanging="567"/>
        <w:rPr>
          <w:sz w:val="24"/>
          <w:lang w:val="et-EE"/>
        </w:rPr>
      </w:pPr>
      <w:r w:rsidRPr="00F230FA">
        <w:rPr>
          <w:rStyle w:val="FootnoteReference"/>
          <w:sz w:val="24"/>
          <w:lang w:val="et-EE"/>
        </w:rPr>
        <w:footnoteRef/>
      </w:r>
      <w:r w:rsidR="00F230FA" w:rsidRPr="00F230FA">
        <w:rPr>
          <w:sz w:val="24"/>
          <w:lang w:val="et-EE"/>
        </w:rPr>
        <w:t xml:space="preserve"> </w:t>
      </w:r>
      <w:r w:rsidR="00F230FA" w:rsidRPr="00F230FA">
        <w:rPr>
          <w:sz w:val="24"/>
          <w:lang w:val="et-EE"/>
        </w:rPr>
        <w:tab/>
      </w:r>
      <w:r w:rsidR="008D69B6">
        <w:rPr>
          <w:sz w:val="24"/>
          <w:lang w:val="et-EE"/>
        </w:rPr>
        <w:t>ELT </w:t>
      </w:r>
      <w:r w:rsidRPr="00F230FA">
        <w:rPr>
          <w:sz w:val="24"/>
          <w:lang w:val="et-EE"/>
        </w:rPr>
        <w:t>C 378, 9.11.2017, lk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B36" w:rsidRPr="00F230FA" w:rsidRDefault="00523B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230F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ET"/>
    <w:docVar w:name="dvnumam" w:val="0"/>
    <w:docVar w:name="dvpe" w:val="765.057"/>
    <w:docVar w:name="dvrapporteur" w:val="Raportöörid: "/>
    <w:docVar w:name="dvstar" w:val="***II"/>
    <w:docVar w:name="dvtitre" w:val="Euroopa Parlamendi .... 2024. aasta seadusandlik resolutsioon nõukogu esimese lugemise seisukoha kohta eesmärgiga võtta vastu Euroopa Parlamendi ja nõukogu määrus ühtse Euroopa taeva algatuse rakendamise kohta (uuesti sõnastatud)(08311/2024 – C10-0114/2024 – 2013/0186(COD))"/>
  </w:docVars>
  <w:rsids>
    <w:rsidRoot w:val="00CB7E86"/>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3B36"/>
    <w:rsid w:val="00545827"/>
    <w:rsid w:val="0055506B"/>
    <w:rsid w:val="00560270"/>
    <w:rsid w:val="00575385"/>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69B6"/>
    <w:rsid w:val="008E7B87"/>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7E86"/>
    <w:rsid w:val="00CC2357"/>
    <w:rsid w:val="00CF071A"/>
    <w:rsid w:val="00D058B8"/>
    <w:rsid w:val="00D3572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30FA"/>
    <w:rsid w:val="00F5134D"/>
    <w:rsid w:val="00F74202"/>
    <w:rsid w:val="00F80267"/>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188426-E62F-417F-8E91-68595AD0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23B3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23B36"/>
    <w:pPr>
      <w:spacing w:before="480" w:after="240"/>
    </w:pPr>
  </w:style>
  <w:style w:type="paragraph" w:customStyle="1" w:styleId="PageHeading">
    <w:name w:val="PageHeading"/>
    <w:basedOn w:val="Normal"/>
    <w:rsid w:val="00523B36"/>
    <w:pPr>
      <w:keepNext/>
      <w:spacing w:after="480"/>
      <w:jc w:val="center"/>
    </w:pPr>
    <w:rPr>
      <w:rFonts w:ascii="Arial" w:hAnsi="Arial" w:cs="Arial"/>
      <w:b/>
    </w:rPr>
  </w:style>
  <w:style w:type="paragraph" w:customStyle="1" w:styleId="NormalBold">
    <w:name w:val="NormalBold"/>
    <w:basedOn w:val="Normal"/>
    <w:rsid w:val="00523B36"/>
    <w:rPr>
      <w:b/>
    </w:rPr>
  </w:style>
  <w:style w:type="paragraph" w:customStyle="1" w:styleId="NormalHanging12a">
    <w:name w:val="NormalHanging12a"/>
    <w:basedOn w:val="Normal"/>
    <w:rsid w:val="00523B36"/>
    <w:pPr>
      <w:spacing w:after="240"/>
      <w:ind w:left="567" w:hanging="567"/>
    </w:pPr>
  </w:style>
  <w:style w:type="paragraph" w:styleId="Header">
    <w:name w:val="header"/>
    <w:basedOn w:val="Normal"/>
    <w:link w:val="HeaderChar"/>
    <w:rsid w:val="00523B36"/>
    <w:pPr>
      <w:tabs>
        <w:tab w:val="center" w:pos="4513"/>
        <w:tab w:val="right" w:pos="9026"/>
      </w:tabs>
    </w:pPr>
  </w:style>
  <w:style w:type="character" w:customStyle="1" w:styleId="HeaderChar">
    <w:name w:val="Header Char"/>
    <w:basedOn w:val="DefaultParagraphFont"/>
    <w:link w:val="Header"/>
    <w:rsid w:val="00523B36"/>
    <w:rPr>
      <w:sz w:val="24"/>
      <w:lang w:val="et-EE"/>
    </w:rPr>
  </w:style>
  <w:style w:type="paragraph" w:customStyle="1" w:styleId="EPFooter">
    <w:name w:val="EPFooter"/>
    <w:basedOn w:val="Normal"/>
    <w:rsid w:val="00523B36"/>
    <w:pPr>
      <w:tabs>
        <w:tab w:val="center" w:pos="4535"/>
        <w:tab w:val="right" w:pos="9071"/>
      </w:tabs>
      <w:spacing w:before="240" w:after="240"/>
    </w:pPr>
    <w:rPr>
      <w:color w:val="010000"/>
      <w:sz w:val="22"/>
    </w:rPr>
  </w:style>
  <w:style w:type="character" w:customStyle="1" w:styleId="italic">
    <w:name w:val="italic"/>
    <w:basedOn w:val="DefaultParagraphFont"/>
    <w:rsid w:val="00523B36"/>
  </w:style>
  <w:style w:type="paragraph" w:styleId="BalloonText">
    <w:name w:val="Balloon Text"/>
    <w:basedOn w:val="Normal"/>
    <w:link w:val="BalloonTextChar"/>
    <w:rsid w:val="00D35728"/>
    <w:rPr>
      <w:rFonts w:ascii="Segoe UI" w:hAnsi="Segoe UI" w:cs="Segoe UI"/>
      <w:sz w:val="18"/>
      <w:szCs w:val="18"/>
    </w:rPr>
  </w:style>
  <w:style w:type="character" w:customStyle="1" w:styleId="BalloonTextChar">
    <w:name w:val="Balloon Text Char"/>
    <w:basedOn w:val="DefaultParagraphFont"/>
    <w:link w:val="BalloonText"/>
    <w:rsid w:val="00D35728"/>
    <w:rPr>
      <w:rFonts w:ascii="Segoe UI" w:hAnsi="Segoe UI" w:cs="Segoe UI"/>
      <w:sz w:val="18"/>
      <w:szCs w:val="18"/>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3150-F5EC-4270-B752-1783E930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404</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HIRV Joel</cp:lastModifiedBy>
  <cp:revision>2</cp:revision>
  <cp:lastPrinted>2004-11-19T15:42:00Z</cp:lastPrinted>
  <dcterms:created xsi:type="dcterms:W3CDTF">2024-10-22T12:40:00Z</dcterms:created>
  <dcterms:modified xsi:type="dcterms:W3CDTF">2024-10-22T12:40:00Z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A10-0010/2024</vt:lpwstr>
  </property>
  <property fmtid="{D5CDD505-2E9C-101B-9397-08002B2CF9AE}" pid="4" name="&lt;Type&gt;">
    <vt:lpwstr>RR</vt:lpwstr>
  </property>
</Properties>
</file>