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737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E7373" w:rsidRDefault="00275126" w:rsidP="0010095E">
            <w:pPr>
              <w:pStyle w:val="EPName"/>
            </w:pPr>
            <w:bookmarkStart w:id="0" w:name="_GoBack"/>
            <w:bookmarkEnd w:id="0"/>
            <w:r w:rsidRPr="000E7373">
              <w:t>Europski parlament</w:t>
            </w:r>
          </w:p>
          <w:p w:rsidR="00751A4A" w:rsidRPr="000E737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E7373">
              <w:t>2024</w:t>
            </w:r>
            <w:r w:rsidR="00817416" w:rsidRPr="000E7373">
              <w:t>-202</w:t>
            </w:r>
            <w:r w:rsidRPr="000E737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0E7373" w:rsidRDefault="00187494" w:rsidP="0010095E">
            <w:pPr>
              <w:pStyle w:val="EPLogo"/>
            </w:pPr>
            <w:r w:rsidRPr="000E7373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E7373" w:rsidRDefault="00D058B8" w:rsidP="004C5D52">
      <w:pPr>
        <w:pStyle w:val="LineTop"/>
      </w:pPr>
    </w:p>
    <w:p w:rsidR="00680577" w:rsidRPr="000E7373" w:rsidRDefault="00275126" w:rsidP="00680577">
      <w:pPr>
        <w:pStyle w:val="EPBodyTA1"/>
      </w:pPr>
      <w:r w:rsidRPr="000E7373">
        <w:t>USVOJENI TEKSTOVI</w:t>
      </w:r>
    </w:p>
    <w:p w:rsidR="00D058B8" w:rsidRPr="000E7373" w:rsidRDefault="00D058B8" w:rsidP="00D058B8">
      <w:pPr>
        <w:pStyle w:val="LineBottom"/>
      </w:pPr>
    </w:p>
    <w:p w:rsidR="00275126" w:rsidRPr="000E7373" w:rsidRDefault="00275126" w:rsidP="00275126">
      <w:pPr>
        <w:pStyle w:val="ATHeading1"/>
      </w:pPr>
      <w:bookmarkStart w:id="1" w:name="TANumber"/>
      <w:r w:rsidRPr="000E7373">
        <w:t>P10_TA(2024)00</w:t>
      </w:r>
      <w:r w:rsidR="000E7373" w:rsidRPr="000E7373">
        <w:t>22</w:t>
      </w:r>
      <w:bookmarkEnd w:id="1"/>
    </w:p>
    <w:p w:rsidR="00275126" w:rsidRPr="000E7373" w:rsidRDefault="00275126" w:rsidP="00275126">
      <w:pPr>
        <w:pStyle w:val="ATHeading2"/>
      </w:pPr>
      <w:bookmarkStart w:id="2" w:name="title"/>
      <w:r w:rsidRPr="000E7373">
        <w:t>Provedba jedinstvenog europskog neba (preinaka)</w:t>
      </w:r>
      <w:bookmarkEnd w:id="2"/>
    </w:p>
    <w:p w:rsidR="00275126" w:rsidRPr="000E7373" w:rsidRDefault="00275126" w:rsidP="00275126">
      <w:pPr>
        <w:rPr>
          <w:i/>
          <w:vanish/>
        </w:rPr>
      </w:pPr>
      <w:r w:rsidRPr="000E7373">
        <w:rPr>
          <w:i/>
        </w:rPr>
        <w:fldChar w:fldCharType="begin"/>
      </w:r>
      <w:r w:rsidRPr="000E7373">
        <w:rPr>
          <w:i/>
        </w:rPr>
        <w:instrText xml:space="preserve"> TC"(</w:instrText>
      </w:r>
      <w:bookmarkStart w:id="3" w:name="DocNumber"/>
      <w:r w:rsidRPr="000E7373">
        <w:rPr>
          <w:i/>
        </w:rPr>
        <w:instrText>A10-0010/2024</w:instrText>
      </w:r>
      <w:bookmarkEnd w:id="3"/>
      <w:r w:rsidRPr="000E7373">
        <w:rPr>
          <w:i/>
        </w:rPr>
        <w:instrText xml:space="preserve"> - Izvjestitelji: </w:instrText>
      </w:r>
      <w:proofErr w:type="spellStart"/>
      <w:r w:rsidRPr="000E7373">
        <w:rPr>
          <w:i/>
        </w:rPr>
        <w:instrText>Jens</w:instrText>
      </w:r>
      <w:proofErr w:type="spellEnd"/>
      <w:r w:rsidRPr="000E7373">
        <w:rPr>
          <w:i/>
        </w:rPr>
        <w:instrText xml:space="preserve"> </w:instrText>
      </w:r>
      <w:proofErr w:type="spellStart"/>
      <w:r w:rsidRPr="000E7373">
        <w:rPr>
          <w:i/>
        </w:rPr>
        <w:instrText>Gieseke</w:instrText>
      </w:r>
      <w:proofErr w:type="spellEnd"/>
      <w:r w:rsidRPr="000E7373">
        <w:rPr>
          <w:i/>
        </w:rPr>
        <w:instrText xml:space="preserve">, </w:instrText>
      </w:r>
      <w:proofErr w:type="spellStart"/>
      <w:r w:rsidRPr="000E7373">
        <w:rPr>
          <w:i/>
        </w:rPr>
        <w:instrText>Johan</w:instrText>
      </w:r>
      <w:proofErr w:type="spellEnd"/>
      <w:r w:rsidRPr="000E7373">
        <w:rPr>
          <w:i/>
        </w:rPr>
        <w:instrText xml:space="preserve"> </w:instrText>
      </w:r>
      <w:proofErr w:type="spellStart"/>
      <w:r w:rsidRPr="000E7373">
        <w:rPr>
          <w:i/>
        </w:rPr>
        <w:instrText>Danielsson</w:instrText>
      </w:r>
      <w:proofErr w:type="spellEnd"/>
      <w:r w:rsidRPr="000E7373">
        <w:rPr>
          <w:i/>
        </w:rPr>
        <w:instrText xml:space="preserve">)"\l3 \n&gt; \* MERGEFORMAT </w:instrText>
      </w:r>
      <w:r w:rsidRPr="000E7373">
        <w:rPr>
          <w:i/>
        </w:rPr>
        <w:fldChar w:fldCharType="end"/>
      </w:r>
    </w:p>
    <w:p w:rsidR="00275126" w:rsidRPr="000E7373" w:rsidRDefault="00275126" w:rsidP="00275126">
      <w:pPr>
        <w:rPr>
          <w:vanish/>
        </w:rPr>
      </w:pPr>
      <w:bookmarkStart w:id="4" w:name="Commission"/>
      <w:r w:rsidRPr="000E7373">
        <w:rPr>
          <w:vanish/>
        </w:rPr>
        <w:t>Odbor za promet i turizam</w:t>
      </w:r>
      <w:bookmarkEnd w:id="4"/>
    </w:p>
    <w:p w:rsidR="00275126" w:rsidRPr="000E7373" w:rsidRDefault="00275126" w:rsidP="00275126">
      <w:pPr>
        <w:rPr>
          <w:vanish/>
        </w:rPr>
      </w:pPr>
      <w:bookmarkStart w:id="5" w:name="PE"/>
      <w:r w:rsidRPr="000E7373">
        <w:rPr>
          <w:vanish/>
        </w:rPr>
        <w:t>PE765.057</w:t>
      </w:r>
      <w:bookmarkEnd w:id="5"/>
    </w:p>
    <w:p w:rsidR="00275126" w:rsidRPr="000E7373" w:rsidRDefault="00275126" w:rsidP="00275126">
      <w:pPr>
        <w:pStyle w:val="ATHeading3"/>
      </w:pPr>
      <w:bookmarkStart w:id="6" w:name="Sujet"/>
      <w:r w:rsidRPr="000E7373">
        <w:t>Zakonodavna rezolu</w:t>
      </w:r>
      <w:r w:rsidR="000F0F0B" w:rsidRPr="000E7373">
        <w:t>cija Europskog parlamenta od 22</w:t>
      </w:r>
      <w:r w:rsidRPr="000E7373">
        <w:t xml:space="preserve">. </w:t>
      </w:r>
      <w:r w:rsidR="000F0F0B" w:rsidRPr="000E7373">
        <w:t xml:space="preserve">listopada </w:t>
      </w:r>
      <w:r w:rsidRPr="000E7373">
        <w:t>2024. o stajalištu Vijeća u prvom čitanju s ciljem donošenja Uredbe Europskog parlamenta i Vijeća o provedbi jedinstvenoga europskog neba (preinaka)</w:t>
      </w:r>
      <w:bookmarkEnd w:id="6"/>
      <w:r w:rsidRPr="000E7373">
        <w:t xml:space="preserve"> </w:t>
      </w:r>
      <w:bookmarkStart w:id="7" w:name="References"/>
      <w:r w:rsidRPr="000E7373">
        <w:t>(08311/2024 – C10-0114/2024 – 2013/0186(COD))</w:t>
      </w:r>
      <w:bookmarkEnd w:id="7"/>
    </w:p>
    <w:p w:rsidR="00DF2ABA" w:rsidRPr="000E7373" w:rsidRDefault="00DF2ABA" w:rsidP="000F0F0B">
      <w:pPr>
        <w:pStyle w:val="NormalBold"/>
        <w:spacing w:before="240"/>
      </w:pPr>
      <w:bookmarkStart w:id="8" w:name="TextBodyBegin"/>
      <w:bookmarkEnd w:id="8"/>
      <w:r w:rsidRPr="000E7373">
        <w:t>(Redovni zakonodavni postupak: drugo čitanje)</w:t>
      </w:r>
    </w:p>
    <w:p w:rsidR="00DF2ABA" w:rsidRPr="000E7373" w:rsidRDefault="00DF2ABA" w:rsidP="00DF2ABA">
      <w:pPr>
        <w:pStyle w:val="EPComma"/>
      </w:pPr>
      <w:r w:rsidRPr="000E7373">
        <w:rPr>
          <w:i/>
        </w:rPr>
        <w:t>Europski parlament</w:t>
      </w:r>
      <w:r w:rsidRPr="000E7373">
        <w:t>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stajalište Vijeća u prvom čitanju (08311/2024 – C10</w:t>
      </w:r>
      <w:r w:rsidRPr="000E7373">
        <w:noBreakHyphen/>
        <w:t>0114/2024),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stajalište u prvom čitanju</w:t>
      </w:r>
      <w:r w:rsidRPr="000E7373">
        <w:rPr>
          <w:rStyle w:val="FootnoteReference"/>
        </w:rPr>
        <w:footnoteReference w:id="1"/>
      </w:r>
      <w:r w:rsidRPr="000E7373">
        <w:t xml:space="preserve"> o Prijedlogu Komisije upućenom Europskom parlamentu i Vijeću (COM(2013)0410),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izmijenjeni Prijedlog Komisije (COM(2020)0579),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prijedlog Komisije upućen Europskom parlamentu i Vijeću (COM(2020)0577 – 2020/0264(COD)),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članak 294. stavak 7. Ugovora o funkcioniranju Europske unije,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članak 68. Poslovnika,</w:t>
      </w:r>
    </w:p>
    <w:p w:rsidR="00DF2ABA" w:rsidRPr="000E7373" w:rsidRDefault="00DF2ABA" w:rsidP="00DF2ABA">
      <w:pPr>
        <w:pStyle w:val="NormalHanging12a"/>
      </w:pPr>
      <w:r w:rsidRPr="000E7373">
        <w:t>–</w:t>
      </w:r>
      <w:r w:rsidRPr="000E7373">
        <w:tab/>
        <w:t>uzimajući u obzir preporuku za drugo čitanje Odbora za promet i turizam (A10</w:t>
      </w:r>
      <w:r w:rsidRPr="000E7373">
        <w:noBreakHyphen/>
        <w:t>0010/2024),</w:t>
      </w:r>
    </w:p>
    <w:p w:rsidR="00DF2ABA" w:rsidRPr="000E7373" w:rsidRDefault="00DF2ABA" w:rsidP="00DF2ABA">
      <w:pPr>
        <w:pStyle w:val="NormalHanging12a"/>
      </w:pPr>
      <w:r w:rsidRPr="000E7373">
        <w:t>1.</w:t>
      </w:r>
      <w:r w:rsidRPr="000E7373">
        <w:tab/>
        <w:t>prihvaća stajalište Vijeća u prvom čitanju;</w:t>
      </w:r>
    </w:p>
    <w:p w:rsidR="00DF2ABA" w:rsidRPr="000E7373" w:rsidRDefault="00DF2ABA" w:rsidP="00DF2ABA">
      <w:pPr>
        <w:pStyle w:val="NormalHanging12a"/>
      </w:pPr>
      <w:r w:rsidRPr="000E7373">
        <w:t>2.</w:t>
      </w:r>
      <w:r w:rsidRPr="000E7373">
        <w:tab/>
        <w:t>smatra da je zbog uvrštenja sadržaja iz prijedloga Komisije COM(2020)0577 u to stajalište zakonodavni prijedlog 2020/0264(COD) ništavan;</w:t>
      </w:r>
    </w:p>
    <w:p w:rsidR="00DF2ABA" w:rsidRPr="000E7373" w:rsidRDefault="00DF2ABA" w:rsidP="00DF2ABA">
      <w:pPr>
        <w:pStyle w:val="NormalHanging12a"/>
      </w:pPr>
      <w:r w:rsidRPr="000E7373">
        <w:lastRenderedPageBreak/>
        <w:t>3.</w:t>
      </w:r>
      <w:r w:rsidRPr="000E7373">
        <w:tab/>
        <w:t>odobrava zajedničku izjavu Europskog parlamenta i Vijeća priloženu ovoj Rezoluciji;</w:t>
      </w:r>
    </w:p>
    <w:p w:rsidR="00DF2ABA" w:rsidRPr="000E7373" w:rsidRDefault="00DF2ABA" w:rsidP="00DF2ABA">
      <w:pPr>
        <w:pStyle w:val="NormalHanging12a"/>
      </w:pPr>
      <w:r w:rsidRPr="000E7373">
        <w:t>4.</w:t>
      </w:r>
      <w:r w:rsidRPr="000E7373">
        <w:tab/>
        <w:t>utvrđuje da je akt usvojen u skladu sa stajalištem Vijeća;</w:t>
      </w:r>
    </w:p>
    <w:p w:rsidR="00DF2ABA" w:rsidRPr="000E7373" w:rsidRDefault="00DF2ABA" w:rsidP="00DF2ABA">
      <w:pPr>
        <w:pStyle w:val="NormalHanging12a"/>
      </w:pPr>
      <w:r w:rsidRPr="000E7373">
        <w:t>5.</w:t>
      </w:r>
      <w:r w:rsidRPr="000E7373">
        <w:tab/>
        <w:t>nalaže svojoj predsjednici da potpiše akt s predsjednikom Vijeća u skladu s člankom 297. stavkom 1. Ugovora o funkcioniranju Europske unije;</w:t>
      </w:r>
    </w:p>
    <w:p w:rsidR="00DF2ABA" w:rsidRPr="000E7373" w:rsidRDefault="00DF2ABA" w:rsidP="00DF2ABA">
      <w:pPr>
        <w:pStyle w:val="NormalHanging12a"/>
      </w:pPr>
      <w:r w:rsidRPr="000E7373">
        <w:t>6.</w:t>
      </w:r>
      <w:r w:rsidRPr="000E7373">
        <w:tab/>
        <w:t xml:space="preserve">nalaže svojem glavnom tajniku da potpiše akt nakon provjere jesu li svi postupci propisno zaključeni te da ga u dogovoru s glavnim tajnikom Vijeća da na objavu u </w:t>
      </w:r>
      <w:r w:rsidRPr="000E7373">
        <w:rPr>
          <w:i/>
        </w:rPr>
        <w:t>Službenom listu Europske unije</w:t>
      </w:r>
      <w:r w:rsidRPr="000E7373">
        <w:t>;</w:t>
      </w:r>
    </w:p>
    <w:p w:rsidR="00DF2ABA" w:rsidRPr="000E7373" w:rsidRDefault="00DF2ABA" w:rsidP="00DF2ABA">
      <w:pPr>
        <w:pStyle w:val="NormalHanging12a"/>
      </w:pPr>
      <w:r w:rsidRPr="000E7373">
        <w:t>7.</w:t>
      </w:r>
      <w:r w:rsidRPr="000E7373">
        <w:tab/>
        <w:t>nalaže svojoj predsjednici da stajalište Parlamenta proslijedi Vijeću, Komisiji i nacionalnim parlamentima.</w:t>
      </w:r>
    </w:p>
    <w:p w:rsidR="000F0F0B" w:rsidRPr="000E7373" w:rsidRDefault="000F0F0B" w:rsidP="00DF2ABA">
      <w:pPr>
        <w:pStyle w:val="PageHeading"/>
        <w:sectPr w:rsidR="000F0F0B" w:rsidRPr="000E7373" w:rsidSect="001D0B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9" w:name="_Toc358105115"/>
      <w:bookmarkStart w:id="10" w:name="_Toc180065387"/>
      <w:bookmarkStart w:id="11" w:name="_Toc180398381"/>
    </w:p>
    <w:p w:rsidR="00DF2ABA" w:rsidRPr="000E7373" w:rsidRDefault="00DF2ABA" w:rsidP="000F0F0B">
      <w:pPr>
        <w:pStyle w:val="PageHeading"/>
        <w:jc w:val="right"/>
        <w:rPr>
          <w:rFonts w:ascii="Times New Roman" w:hAnsi="Times New Roman" w:cs="Times New Roman"/>
          <w:b w:val="0"/>
        </w:rPr>
      </w:pPr>
      <w:r w:rsidRPr="000E7373">
        <w:rPr>
          <w:rFonts w:ascii="Times New Roman" w:hAnsi="Times New Roman" w:cs="Times New Roman"/>
          <w:b w:val="0"/>
        </w:rPr>
        <w:lastRenderedPageBreak/>
        <w:t>PRILOG ZAKONODAVNOJ REZOLUCIJI</w:t>
      </w:r>
      <w:bookmarkEnd w:id="9"/>
      <w:bookmarkEnd w:id="10"/>
      <w:bookmarkEnd w:id="11"/>
    </w:p>
    <w:p w:rsidR="00DF2ABA" w:rsidRPr="000E7373" w:rsidRDefault="00DF2ABA" w:rsidP="00DF2ABA">
      <w:pPr>
        <w:pStyle w:val="PageHeading"/>
        <w:rPr>
          <w:rFonts w:ascii="Times New Roman" w:hAnsi="Times New Roman" w:cs="Times New Roman"/>
        </w:rPr>
      </w:pPr>
      <w:bookmarkStart w:id="12" w:name="_Toc180065388"/>
      <w:bookmarkStart w:id="13" w:name="_Toc180398382"/>
      <w:r w:rsidRPr="000E7373">
        <w:rPr>
          <w:rFonts w:ascii="Times New Roman" w:hAnsi="Times New Roman" w:cs="Times New Roman"/>
        </w:rPr>
        <w:t>ZAJEDNIČKA IZJAVA EUROPSKOG PARLAMENTA</w:t>
      </w:r>
      <w:bookmarkEnd w:id="12"/>
      <w:r w:rsidRPr="000E7373">
        <w:rPr>
          <w:rFonts w:ascii="Times New Roman" w:hAnsi="Times New Roman" w:cs="Times New Roman"/>
        </w:rPr>
        <w:t xml:space="preserve"> I VIJEĆA EUROPSKE UNIJE</w:t>
      </w:r>
      <w:bookmarkEnd w:id="13"/>
    </w:p>
    <w:p w:rsidR="00DF2ABA" w:rsidRPr="000E7373" w:rsidRDefault="00DF2ABA" w:rsidP="00DF2ABA">
      <w:pPr>
        <w:spacing w:after="240"/>
        <w:jc w:val="both"/>
      </w:pPr>
      <w:r w:rsidRPr="000E7373">
        <w:t>Ne dovodeći u pitanje ovlasti proračunskog tijela u okviru godišnjeg proračunskog postupka kao ni ovlasti Komisije za izradu nacrta proračuna, Europski parlament i Vijeće pozivaju Komisiju da u okviru godišnjeg proračunskog postupka predloži stvaranje dodatne proračunske linije za administrativnu potporu u sklopu Instrumenta za povezivanje Europe (CEF), koja bi se financirala iz raspoloživih odobrenih sredstava CEF-a kako je utvrđeno u zakonodavnom financijskom izvještaju Komisije. Tom novom proračunskom linijom pokrili bi se troškovi ugovornog osoblja i drugi administrativni rashodi tajništva Odbora za reviziju izvedbe, Odbora za reviziju izvedbe i Odbora za suradnju nacionalnih nadzornih tijela, kao što su tehnička pomoć, troškovi stručnjaka, ugovori za pružanje podataka, vanjske studije i dodatne savjetodavne usluge, dok će se radna mjesta iz plana radnih mjesta financirati iz administrativne proračunske linije iz naslova 7., uz potpuno poštovanje postojeće Uredbe o višegodišnjem financijskom okviru. U mjeri u kojoj je to moguće, takvim financiranjem u okviru CEF-a ne bi se trebala dovesti u pitanje sredstva koja su već predviđena u najnovijem CEF-ovu programu rada u području prometa.</w:t>
      </w:r>
    </w:p>
    <w:p w:rsidR="00DF2ABA" w:rsidRPr="000E7373" w:rsidRDefault="00DF2ABA" w:rsidP="00DF2ABA">
      <w:pPr>
        <w:spacing w:after="240"/>
        <w:jc w:val="both"/>
      </w:pPr>
      <w:r w:rsidRPr="000E7373">
        <w:t>Financiranje u okviru CEF-a ugovornog osoblja i drugih administrativnih rashoda tajništva Odbora za reviziju izvedbe, Odbora za reviziju izvedbe i Odbora za suradnju nacionalnih nadzornih tijela ne bi trebalo biti presedan za financiranje tajništva drugih odbora. Time ni na koji način ne bi trebalo prejudicirati aranžmane financiranja o kojima treba postići dogovor u okviru sljedeće Uredbe o višegodišnjem financijskom okviru.</w:t>
      </w:r>
    </w:p>
    <w:sectPr w:rsidR="00DF2ABA" w:rsidRPr="000E7373" w:rsidSect="001D0B0B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26" w:rsidRPr="001D0B0B" w:rsidRDefault="00275126">
      <w:r w:rsidRPr="001D0B0B">
        <w:separator/>
      </w:r>
    </w:p>
  </w:endnote>
  <w:endnote w:type="continuationSeparator" w:id="0">
    <w:p w:rsidR="00275126" w:rsidRPr="001D0B0B" w:rsidRDefault="00275126">
      <w:r w:rsidRPr="001D0B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26" w:rsidRPr="001D0B0B" w:rsidRDefault="00275126">
      <w:r w:rsidRPr="001D0B0B">
        <w:separator/>
      </w:r>
    </w:p>
  </w:footnote>
  <w:footnote w:type="continuationSeparator" w:id="0">
    <w:p w:rsidR="00275126" w:rsidRPr="001D0B0B" w:rsidRDefault="00275126">
      <w:r w:rsidRPr="001D0B0B">
        <w:continuationSeparator/>
      </w:r>
    </w:p>
  </w:footnote>
  <w:footnote w:id="1">
    <w:p w:rsidR="00DF2ABA" w:rsidRPr="001D0B0B" w:rsidRDefault="00DF2ABA" w:rsidP="001D0B0B">
      <w:pPr>
        <w:pStyle w:val="FootnoteText"/>
        <w:ind w:left="567" w:hanging="567"/>
        <w:rPr>
          <w:sz w:val="24"/>
          <w:lang w:val="hr-HR"/>
        </w:rPr>
      </w:pPr>
      <w:r w:rsidRPr="001D0B0B">
        <w:rPr>
          <w:rStyle w:val="FootnoteReference"/>
          <w:sz w:val="24"/>
          <w:lang w:val="hr-HR"/>
        </w:rPr>
        <w:footnoteRef/>
      </w:r>
      <w:r w:rsidR="001D0B0B" w:rsidRPr="001D0B0B">
        <w:rPr>
          <w:sz w:val="24"/>
          <w:lang w:val="hr-HR"/>
        </w:rPr>
        <w:t xml:space="preserve"> </w:t>
      </w:r>
      <w:r w:rsidR="001D0B0B" w:rsidRPr="001D0B0B">
        <w:rPr>
          <w:sz w:val="24"/>
          <w:lang w:val="hr-HR"/>
        </w:rPr>
        <w:tab/>
      </w:r>
      <w:r w:rsidRPr="001D0B0B">
        <w:rPr>
          <w:sz w:val="24"/>
          <w:lang w:val="hr-HR"/>
        </w:rPr>
        <w:t>SL C 378, 9.11.2017., str. 546.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D0B0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0/2024"/>
    <w:docVar w:name="dvlangue" w:val="HR"/>
    <w:docVar w:name="dvnumam" w:val="0"/>
    <w:docVar w:name="dvpe" w:val="765.057"/>
    <w:docVar w:name="dvrapporteur" w:val="Izvjestitelji: "/>
    <w:docVar w:name="dvstar" w:val="***II"/>
    <w:docVar w:name="dvtitre" w:val="Zakonodavna rezolucija Europskog parlamenta od .... 2024. o stajalištu Vijeća u prvom čitanju s ciljem donošenja Uredbe Europskog parlamenta i Vijeća o provedbi jedinstvenoga europskog neba (preinaka)(08311/2024 – C10-0114/2024 – 2013/0186(COD))"/>
  </w:docVars>
  <w:rsids>
    <w:rsidRoot w:val="00275126"/>
    <w:rsid w:val="00002272"/>
    <w:rsid w:val="00064002"/>
    <w:rsid w:val="000677B9"/>
    <w:rsid w:val="000831BA"/>
    <w:rsid w:val="000A42CC"/>
    <w:rsid w:val="000E7373"/>
    <w:rsid w:val="000E7DD9"/>
    <w:rsid w:val="000F0F0B"/>
    <w:rsid w:val="0010095E"/>
    <w:rsid w:val="00125B37"/>
    <w:rsid w:val="00187494"/>
    <w:rsid w:val="001D0B0B"/>
    <w:rsid w:val="001F32AE"/>
    <w:rsid w:val="00275126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27B5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2ABA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57DF"/>
  <w15:chartTrackingRefBased/>
  <w15:docId w15:val="{166ED96E-B411-4264-9893-4ABFBBEE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F2ABA"/>
    <w:pPr>
      <w:spacing w:before="480" w:after="240"/>
    </w:pPr>
  </w:style>
  <w:style w:type="paragraph" w:customStyle="1" w:styleId="PageHeading">
    <w:name w:val="PageHeading"/>
    <w:basedOn w:val="Normal"/>
    <w:rsid w:val="00DF2AB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F2ABA"/>
    <w:rPr>
      <w:b/>
    </w:rPr>
  </w:style>
  <w:style w:type="paragraph" w:customStyle="1" w:styleId="NormalHanging12a">
    <w:name w:val="NormalHanging12a"/>
    <w:basedOn w:val="Normal"/>
    <w:rsid w:val="00DF2ABA"/>
    <w:pPr>
      <w:spacing w:after="24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8CD5-D002-4882-B402-4B318900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2024-10-22T10:24:00Z</dcterms:created>
  <dcterms:modified xsi:type="dcterms:W3CDTF">2024-10-22T10:24:00Z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A10-0010/2024</vt:lpwstr>
  </property>
  <property fmtid="{D5CDD505-2E9C-101B-9397-08002B2CF9AE}" pid="4" name="&lt;Type&gt;">
    <vt:lpwstr>RR</vt:lpwstr>
  </property>
</Properties>
</file>