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465A3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3465A3" w:rsidRDefault="005A1B89" w:rsidP="0010095E">
            <w:pPr>
              <w:pStyle w:val="EPName"/>
            </w:pPr>
            <w:r w:rsidRPr="003465A3">
              <w:t>Parlament Ewropew</w:t>
            </w:r>
          </w:p>
          <w:p w:rsidR="00751A4A" w:rsidRPr="003465A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3465A3">
              <w:t>2024</w:t>
            </w:r>
            <w:r w:rsidR="00817416" w:rsidRPr="003465A3">
              <w:t>-202</w:t>
            </w:r>
            <w:r w:rsidRPr="003465A3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3465A3" w:rsidRDefault="00187494" w:rsidP="0010095E">
            <w:pPr>
              <w:pStyle w:val="EPLogo"/>
            </w:pPr>
            <w:r w:rsidRPr="003465A3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3465A3" w:rsidRDefault="00D058B8" w:rsidP="004C5D52">
      <w:pPr>
        <w:pStyle w:val="LineTop"/>
      </w:pPr>
    </w:p>
    <w:p w:rsidR="00680577" w:rsidRPr="003465A3" w:rsidRDefault="005A1B89" w:rsidP="00680577">
      <w:pPr>
        <w:pStyle w:val="EPBodyTA1"/>
      </w:pPr>
      <w:r w:rsidRPr="003465A3">
        <w:t>TESTI ADOTTATI</w:t>
      </w:r>
    </w:p>
    <w:p w:rsidR="00D058B8" w:rsidRPr="003465A3" w:rsidRDefault="00D058B8" w:rsidP="00D058B8">
      <w:pPr>
        <w:pStyle w:val="LineBottom"/>
      </w:pPr>
    </w:p>
    <w:p w:rsidR="005A1B89" w:rsidRPr="003465A3" w:rsidRDefault="005A1B89" w:rsidP="005A1B89">
      <w:pPr>
        <w:pStyle w:val="ATHeading1"/>
      </w:pPr>
      <w:bookmarkStart w:id="0" w:name="TANumber"/>
      <w:r w:rsidRPr="003465A3">
        <w:t>P10_TA(2024)00</w:t>
      </w:r>
      <w:r w:rsidR="00B55C2E">
        <w:t>22</w:t>
      </w:r>
      <w:bookmarkEnd w:id="0"/>
    </w:p>
    <w:p w:rsidR="005A1B89" w:rsidRPr="003465A3" w:rsidRDefault="005A1B89" w:rsidP="005A1B89">
      <w:pPr>
        <w:pStyle w:val="ATHeading2"/>
      </w:pPr>
      <w:bookmarkStart w:id="1" w:name="title"/>
      <w:r w:rsidRPr="003465A3">
        <w:t>L-implimentazzjoni tal-Ajru Uniku Ewropew (</w:t>
      </w:r>
      <w:proofErr w:type="spellStart"/>
      <w:r w:rsidR="00FE3C75" w:rsidRPr="00186499">
        <w:t>r</w:t>
      </w:r>
      <w:r w:rsidRPr="003465A3">
        <w:t>iformulazzjoni</w:t>
      </w:r>
      <w:proofErr w:type="spellEnd"/>
      <w:r w:rsidRPr="003465A3">
        <w:t>)</w:t>
      </w:r>
      <w:bookmarkEnd w:id="1"/>
    </w:p>
    <w:p w:rsidR="005A1B89" w:rsidRPr="003465A3" w:rsidRDefault="005A1B89" w:rsidP="005A1B89">
      <w:pPr>
        <w:rPr>
          <w:i/>
          <w:vanish/>
        </w:rPr>
      </w:pPr>
      <w:r w:rsidRPr="003465A3">
        <w:rPr>
          <w:i/>
        </w:rPr>
        <w:fldChar w:fldCharType="begin"/>
      </w:r>
      <w:r w:rsidRPr="003465A3">
        <w:rPr>
          <w:i/>
        </w:rPr>
        <w:instrText xml:space="preserve"> TC"(</w:instrText>
      </w:r>
      <w:bookmarkStart w:id="2" w:name="DocNumber"/>
      <w:r w:rsidRPr="003465A3">
        <w:rPr>
          <w:i/>
        </w:rPr>
        <w:instrText>A10-0010/2024</w:instrText>
      </w:r>
      <w:bookmarkEnd w:id="2"/>
      <w:r w:rsidRPr="003465A3">
        <w:rPr>
          <w:i/>
        </w:rPr>
        <w:instrText xml:space="preserve"> - Rapporteur</w:instrText>
      </w:r>
      <w:r w:rsidR="00E51476">
        <w:rPr>
          <w:i/>
        </w:rPr>
        <w:instrText>s</w:instrText>
      </w:r>
      <w:r w:rsidRPr="003465A3">
        <w:rPr>
          <w:i/>
        </w:rPr>
        <w:instrText xml:space="preserve">: Jens Gieseke, Johan Danielsson)"\l3 \n&gt; \* MERGEFORMAT </w:instrText>
      </w:r>
      <w:r w:rsidRPr="003465A3">
        <w:rPr>
          <w:i/>
        </w:rPr>
        <w:fldChar w:fldCharType="end"/>
      </w:r>
    </w:p>
    <w:p w:rsidR="005A1B89" w:rsidRPr="003465A3" w:rsidRDefault="005A1B89" w:rsidP="005A1B89">
      <w:pPr>
        <w:rPr>
          <w:vanish/>
        </w:rPr>
      </w:pPr>
      <w:bookmarkStart w:id="3" w:name="Commission"/>
      <w:r w:rsidRPr="003465A3">
        <w:rPr>
          <w:vanish/>
        </w:rPr>
        <w:t>Kumitat għat-Trasport u t-Turiżmu</w:t>
      </w:r>
      <w:bookmarkEnd w:id="3"/>
    </w:p>
    <w:p w:rsidR="005A1B89" w:rsidRPr="003465A3" w:rsidRDefault="005A1B89" w:rsidP="005A1B89">
      <w:pPr>
        <w:rPr>
          <w:vanish/>
        </w:rPr>
      </w:pPr>
      <w:bookmarkStart w:id="4" w:name="PE"/>
      <w:r w:rsidRPr="003465A3">
        <w:rPr>
          <w:vanish/>
        </w:rPr>
        <w:t>PE765.057</w:t>
      </w:r>
      <w:bookmarkEnd w:id="4"/>
    </w:p>
    <w:p w:rsidR="005A1B89" w:rsidRPr="003465A3" w:rsidRDefault="005A1B89" w:rsidP="005A1B89">
      <w:pPr>
        <w:pStyle w:val="ATHeading3"/>
      </w:pPr>
      <w:bookmarkStart w:id="5" w:name="Sujet"/>
      <w:r w:rsidRPr="003465A3">
        <w:t xml:space="preserve">Riżoluzzjoni </w:t>
      </w:r>
      <w:proofErr w:type="spellStart"/>
      <w:r w:rsidRPr="003465A3">
        <w:t>leġiżlattiva</w:t>
      </w:r>
      <w:proofErr w:type="spellEnd"/>
      <w:r w:rsidRPr="003465A3">
        <w:t xml:space="preserve"> tal-Parlament Ewropew tat-22 ta' Ottubru 2024 dwar il-pożizzjoni tal-Kunsill fl-ewwel qari bil-ħsieb </w:t>
      </w:r>
      <w:bookmarkStart w:id="6" w:name="_GoBack"/>
      <w:bookmarkEnd w:id="6"/>
      <w:r w:rsidRPr="003465A3">
        <w:t>li jiġi adottat Regolament tal-Parlament Ewropew u tal-Kunsill dwar l-implimentazzjoni tal-Ajru Uniku Ewropew (</w:t>
      </w:r>
      <w:proofErr w:type="spellStart"/>
      <w:r w:rsidRPr="003465A3">
        <w:t>riformulazzjoni</w:t>
      </w:r>
      <w:proofErr w:type="spellEnd"/>
      <w:r w:rsidRPr="003465A3">
        <w:t>)</w:t>
      </w:r>
      <w:bookmarkEnd w:id="5"/>
      <w:r w:rsidRPr="003465A3">
        <w:t xml:space="preserve"> </w:t>
      </w:r>
      <w:bookmarkStart w:id="7" w:name="References"/>
      <w:r w:rsidRPr="003465A3">
        <w:t>(08311/2024 – C10-0114/2024 – 2013/0186(COD))</w:t>
      </w:r>
      <w:bookmarkEnd w:id="7"/>
    </w:p>
    <w:p w:rsidR="005A1B89" w:rsidRPr="003465A3" w:rsidRDefault="00084ADB" w:rsidP="00084ADB">
      <w:pPr>
        <w:pStyle w:val="NormalBold"/>
      </w:pPr>
      <w:r>
        <w:t xml:space="preserve">(Proċedura </w:t>
      </w:r>
      <w:proofErr w:type="spellStart"/>
      <w:r>
        <w:t>leġiżlattiva</w:t>
      </w:r>
      <w:proofErr w:type="spellEnd"/>
      <w:r>
        <w:t xml:space="preserve"> ordinarja: it-tieni qari)</w:t>
      </w:r>
    </w:p>
    <w:p w:rsidR="00DA6A81" w:rsidRPr="003465A3" w:rsidRDefault="00DA6A81" w:rsidP="00DA6A81">
      <w:pPr>
        <w:pStyle w:val="EPComma"/>
      </w:pPr>
      <w:bookmarkStart w:id="8" w:name="TextBodyBegin"/>
      <w:bookmarkEnd w:id="8"/>
      <w:r w:rsidRPr="003465A3">
        <w:rPr>
          <w:i/>
        </w:rPr>
        <w:t>Il-Parlament Ewropew</w:t>
      </w:r>
      <w:r w:rsidRPr="003465A3">
        <w:t>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l-pożizzjoni tal-Kunsill fl-ewwel qari (08311/2024 – C10</w:t>
      </w:r>
      <w:r w:rsidRPr="003465A3">
        <w:noBreakHyphen/>
        <w:t>0114/2024),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l-pożizzjoni tiegħu fl-ewwel qari</w:t>
      </w:r>
      <w:r w:rsidRPr="003465A3">
        <w:rPr>
          <w:rStyle w:val="FootnoteReference"/>
        </w:rPr>
        <w:footnoteReference w:id="1"/>
      </w:r>
      <w:r w:rsidRPr="003465A3">
        <w:t xml:space="preserve"> dwar il-proposta tal-Kummissjoni lill-Parlament u lill-Kunsill (COM(2013)0410),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l-proposta emendata tal-Kummissjoni (COM(2020)0579),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l-proposta tal-Kummissjoni lill-Parlament u lill-Kunsill (COM(2020)0577 – 2020/0264(COD)),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l-Artikolu 294(7) tat-Trattat dwar il-Funzjonament tal-Unjoni Ewropea,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l-Artikolu 68 tar-Regoli ta’ Proċedura tiegħu,</w:t>
      </w:r>
    </w:p>
    <w:p w:rsidR="00DA6A81" w:rsidRPr="003465A3" w:rsidRDefault="00DA6A81" w:rsidP="00DA6A81">
      <w:pPr>
        <w:pStyle w:val="NormalHanging12a"/>
      </w:pPr>
      <w:r w:rsidRPr="003465A3">
        <w:t>–</w:t>
      </w:r>
      <w:r w:rsidRPr="003465A3">
        <w:tab/>
        <w:t xml:space="preserve">wara li </w:t>
      </w:r>
      <w:proofErr w:type="spellStart"/>
      <w:r w:rsidRPr="003465A3">
        <w:t>kkunsidra</w:t>
      </w:r>
      <w:proofErr w:type="spellEnd"/>
      <w:r w:rsidRPr="003465A3">
        <w:t xml:space="preserve"> r-rakkomandazzjoni għat-tieni qari tal-Kumitat għat-Trasport u t-Turiżmu (A10-0010/2024),</w:t>
      </w:r>
    </w:p>
    <w:p w:rsidR="00DA6A81" w:rsidRPr="003465A3" w:rsidRDefault="00DA6A81" w:rsidP="00DA6A81">
      <w:pPr>
        <w:pStyle w:val="NormalHanging12a"/>
      </w:pPr>
      <w:r w:rsidRPr="003465A3">
        <w:t>1.</w:t>
      </w:r>
      <w:r w:rsidRPr="003465A3">
        <w:tab/>
        <w:t>Japprova l-pożizzjoni tal-Kunsill fl-ewwel qari;</w:t>
      </w:r>
    </w:p>
    <w:p w:rsidR="00DA6A81" w:rsidRPr="003465A3" w:rsidRDefault="00DA6A81" w:rsidP="00DA6A81">
      <w:pPr>
        <w:pStyle w:val="NormalHanging12a"/>
      </w:pPr>
      <w:r w:rsidRPr="003465A3">
        <w:t>2.</w:t>
      </w:r>
      <w:r w:rsidRPr="003465A3">
        <w:tab/>
        <w:t xml:space="preserve">Iqis li, minħabba l-inkorporazzjoni tal-kontenut tal-proposta tal-Kummissjoni COM(2020)0577 f’dik il-pożizzjoni, il-proċedura </w:t>
      </w:r>
      <w:proofErr w:type="spellStart"/>
      <w:r w:rsidRPr="003465A3">
        <w:t>leġiżlattiva</w:t>
      </w:r>
      <w:proofErr w:type="spellEnd"/>
      <w:r w:rsidRPr="003465A3">
        <w:t xml:space="preserve"> 2020/0264(COD) skadiet;</w:t>
      </w:r>
    </w:p>
    <w:p w:rsidR="00DA6A81" w:rsidRPr="003465A3" w:rsidRDefault="00DA6A81" w:rsidP="00DA6A81">
      <w:pPr>
        <w:pStyle w:val="NormalHanging12a"/>
      </w:pPr>
      <w:r w:rsidRPr="003465A3">
        <w:lastRenderedPageBreak/>
        <w:t>3.</w:t>
      </w:r>
      <w:r w:rsidRPr="003465A3">
        <w:tab/>
        <w:t>Japprova d-dikjarazzjoni konġunta tal-Parlament Ewropew u tal-Kunsill annessa ma’ din ir-riżoluzzjoni;</w:t>
      </w:r>
    </w:p>
    <w:p w:rsidR="00DA6A81" w:rsidRPr="003465A3" w:rsidRDefault="00DA6A81" w:rsidP="00DA6A81">
      <w:pPr>
        <w:pStyle w:val="NormalHanging12a"/>
      </w:pPr>
      <w:r w:rsidRPr="003465A3">
        <w:t>4.</w:t>
      </w:r>
      <w:r w:rsidRPr="003465A3">
        <w:tab/>
        <w:t>Jinnota li l-att qed jiġi adottat f’</w:t>
      </w:r>
      <w:proofErr w:type="spellStart"/>
      <w:r w:rsidRPr="003465A3">
        <w:t>konformità</w:t>
      </w:r>
      <w:proofErr w:type="spellEnd"/>
      <w:r w:rsidRPr="003465A3">
        <w:t xml:space="preserve"> mal-pożizzjoni tal-Kunsill;</w:t>
      </w:r>
    </w:p>
    <w:p w:rsidR="00DA6A81" w:rsidRPr="003465A3" w:rsidRDefault="00DA6A81" w:rsidP="00DA6A81">
      <w:pPr>
        <w:pStyle w:val="NormalHanging12a"/>
      </w:pPr>
      <w:r w:rsidRPr="003465A3">
        <w:t>5.</w:t>
      </w:r>
      <w:r w:rsidRPr="003465A3">
        <w:tab/>
        <w:t>Jagħti istruzzjonijiet lill-President tiegħu biex tiffirma l-att, flimkien mal-President tal-Kunsill, skont l-Artikolu 297(1) tat-Trattat dwar il-Funzjonament tal-Unjoni Ewropea;</w:t>
      </w:r>
    </w:p>
    <w:p w:rsidR="00DA6A81" w:rsidRPr="003465A3" w:rsidRDefault="00DA6A81" w:rsidP="00DA6A81">
      <w:pPr>
        <w:pStyle w:val="NormalHanging12a"/>
      </w:pPr>
      <w:r w:rsidRPr="003465A3">
        <w:t>6.</w:t>
      </w:r>
      <w:r w:rsidRPr="003465A3">
        <w:tab/>
        <w:t>Jagħti istruzzjonijiet lis-Segretarju Ġenerali tiegħu biex jiffirma l-att, wara li jkun ġie vverifikat li l-proċeduri kollha ntemmu kif imiss, u biex, bi qbil mas-Segretarju Ġenerali tal-Kunsill, jipproċedi għall-pubblikazzjoni tal-att f’</w:t>
      </w:r>
      <w:r w:rsidRPr="003465A3">
        <w:rPr>
          <w:i/>
        </w:rPr>
        <w:t>Il-Ġurnal Uffiċjali tal-Unjoni Ewropea</w:t>
      </w:r>
      <w:r w:rsidRPr="003465A3">
        <w:t>;</w:t>
      </w:r>
    </w:p>
    <w:p w:rsidR="00DA6A81" w:rsidRPr="003465A3" w:rsidRDefault="00DA6A81" w:rsidP="00124192">
      <w:pPr>
        <w:ind w:left="567" w:hanging="567"/>
      </w:pPr>
      <w:r w:rsidRPr="003465A3">
        <w:t>7.</w:t>
      </w:r>
      <w:r w:rsidRPr="003465A3">
        <w:tab/>
        <w:t>Jagħti istruzzjonijiet lill-President tiegħu biex tgħaddi l-pożizzjoni tal-Parlament lill-Kunsill u lill-Kummissjoni kif ukoll lill-parlamenti nazzjonali.</w:t>
      </w:r>
    </w:p>
    <w:p w:rsidR="00124192" w:rsidRDefault="00124192" w:rsidP="00124192">
      <w:pPr>
        <w:widowControl/>
        <w:sectPr w:rsidR="00124192" w:rsidSect="003465A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bookmarkStart w:id="9" w:name="TextBodyEnd"/>
      <w:bookmarkEnd w:id="9"/>
    </w:p>
    <w:p w:rsidR="00124192" w:rsidRPr="00124192" w:rsidRDefault="00124192" w:rsidP="00124192">
      <w:pPr>
        <w:pStyle w:val="PageHeading"/>
        <w:jc w:val="right"/>
        <w:rPr>
          <w:rFonts w:ascii="Times New Roman" w:hAnsi="Times New Roman" w:cs="Times New Roman"/>
          <w:b w:val="0"/>
        </w:rPr>
      </w:pPr>
      <w:bookmarkStart w:id="10" w:name="_Toc358105115"/>
      <w:bookmarkStart w:id="11" w:name="_Toc180065387"/>
      <w:bookmarkStart w:id="12" w:name="_Toc180144916"/>
      <w:r w:rsidRPr="00124192">
        <w:rPr>
          <w:rFonts w:ascii="Times New Roman" w:hAnsi="Times New Roman" w:cs="Times New Roman"/>
          <w:b w:val="0"/>
        </w:rPr>
        <w:lastRenderedPageBreak/>
        <w:t>ANNESS GĦAR-RIŻOLUZZJONI LEĠIŻLATTIVA</w:t>
      </w:r>
      <w:bookmarkEnd w:id="10"/>
      <w:bookmarkEnd w:id="11"/>
      <w:bookmarkEnd w:id="12"/>
    </w:p>
    <w:p w:rsidR="00124192" w:rsidRPr="00124192" w:rsidRDefault="00124192" w:rsidP="00124192">
      <w:pPr>
        <w:pStyle w:val="PageHeading"/>
        <w:rPr>
          <w:rFonts w:ascii="Times New Roman" w:hAnsi="Times New Roman" w:cs="Times New Roman"/>
        </w:rPr>
      </w:pPr>
      <w:bookmarkStart w:id="13" w:name="_Toc180065388"/>
      <w:bookmarkStart w:id="14" w:name="_Toc180144917"/>
      <w:r w:rsidRPr="00124192">
        <w:rPr>
          <w:rFonts w:ascii="Times New Roman" w:hAnsi="Times New Roman" w:cs="Times New Roman"/>
        </w:rPr>
        <w:t>DIKJARAZZJONI KONĠUNTA TAL-PARLAMENT EWROPEW U TAL-KUNSILL TAL-UNJONI EWROPEA</w:t>
      </w:r>
      <w:bookmarkEnd w:id="13"/>
      <w:bookmarkEnd w:id="14"/>
    </w:p>
    <w:p w:rsidR="00124192" w:rsidRPr="0007619F" w:rsidRDefault="00124192" w:rsidP="00124192">
      <w:pPr>
        <w:spacing w:after="240"/>
        <w:jc w:val="both"/>
        <w:rPr>
          <w:color w:val="000000"/>
        </w:rPr>
      </w:pPr>
      <w:r>
        <w:rPr>
          <w:color w:val="000000"/>
        </w:rPr>
        <w:t xml:space="preserve">Mingħajr preġudizzju għall-prerogattivi tal-awtorità </w:t>
      </w:r>
      <w:proofErr w:type="spellStart"/>
      <w:r>
        <w:rPr>
          <w:color w:val="000000"/>
        </w:rPr>
        <w:t>baġitarja</w:t>
      </w:r>
      <w:proofErr w:type="spellEnd"/>
      <w:r>
        <w:rPr>
          <w:color w:val="000000"/>
        </w:rPr>
        <w:t xml:space="preserve"> fil-qafas tal-proċedura </w:t>
      </w:r>
      <w:proofErr w:type="spellStart"/>
      <w:r>
        <w:rPr>
          <w:color w:val="000000"/>
        </w:rPr>
        <w:t>baġitarja</w:t>
      </w:r>
      <w:proofErr w:type="spellEnd"/>
      <w:r>
        <w:rPr>
          <w:color w:val="000000"/>
        </w:rPr>
        <w:t xml:space="preserve"> annwali u għas-setgħat tal-Kummissjoni li tistabbilixxi l-abbozz tal-baġit, il-Parlament Ewropew u l-Kunsill </w:t>
      </w:r>
      <w:proofErr w:type="spellStart"/>
      <w:r>
        <w:rPr>
          <w:color w:val="000000"/>
        </w:rPr>
        <w:t>jistiednu</w:t>
      </w:r>
      <w:proofErr w:type="spellEnd"/>
      <w:r>
        <w:rPr>
          <w:color w:val="000000"/>
        </w:rPr>
        <w:t xml:space="preserve"> lill-Kummissjoni biex tipproponi fil-qafas tal-proċedura </w:t>
      </w:r>
      <w:proofErr w:type="spellStart"/>
      <w:r>
        <w:rPr>
          <w:color w:val="000000"/>
        </w:rPr>
        <w:t>baġitarja</w:t>
      </w:r>
      <w:proofErr w:type="spellEnd"/>
      <w:r>
        <w:rPr>
          <w:color w:val="000000"/>
        </w:rPr>
        <w:t xml:space="preserve"> annwali l-ħolqien ta’ linja </w:t>
      </w:r>
      <w:proofErr w:type="spellStart"/>
      <w:r>
        <w:rPr>
          <w:color w:val="000000"/>
        </w:rPr>
        <w:t>baġitarja</w:t>
      </w:r>
      <w:proofErr w:type="spellEnd"/>
      <w:r>
        <w:rPr>
          <w:color w:val="000000"/>
        </w:rPr>
        <w:t xml:space="preserve"> ta’ appoġġ amministrattiv addizzjonali taħt il-</w:t>
      </w:r>
      <w:proofErr w:type="spellStart"/>
      <w:r>
        <w:rPr>
          <w:color w:val="000000"/>
        </w:rPr>
        <w:t>Faċilità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Nikkollegaw</w:t>
      </w:r>
      <w:proofErr w:type="spellEnd"/>
      <w:r>
        <w:rPr>
          <w:color w:val="000000"/>
        </w:rPr>
        <w:t xml:space="preserve"> l-Ewropa (FNE), </w:t>
      </w:r>
      <w:proofErr w:type="spellStart"/>
      <w:r>
        <w:rPr>
          <w:color w:val="000000"/>
        </w:rPr>
        <w:t>iffinanzjata</w:t>
      </w:r>
      <w:proofErr w:type="spellEnd"/>
      <w:r>
        <w:rPr>
          <w:color w:val="000000"/>
        </w:rPr>
        <w:t xml:space="preserve"> mill-</w:t>
      </w:r>
      <w:proofErr w:type="spellStart"/>
      <w:r>
        <w:rPr>
          <w:color w:val="000000"/>
        </w:rPr>
        <w:t>approprjazzjonijiet</w:t>
      </w:r>
      <w:proofErr w:type="spellEnd"/>
      <w:r>
        <w:rPr>
          <w:color w:val="000000"/>
        </w:rPr>
        <w:t xml:space="preserve"> disponibbli tal-FNE kif identifikati fid-Dikjarazzjoni Finanzjarja </w:t>
      </w:r>
      <w:proofErr w:type="spellStart"/>
      <w:r>
        <w:rPr>
          <w:color w:val="000000"/>
        </w:rPr>
        <w:t>Leġiżlattiva</w:t>
      </w:r>
      <w:proofErr w:type="spellEnd"/>
      <w:r>
        <w:rPr>
          <w:color w:val="000000"/>
        </w:rPr>
        <w:t xml:space="preserve"> pprovduta mill-Kummissjoni. Din il-linja </w:t>
      </w:r>
      <w:proofErr w:type="spellStart"/>
      <w:r>
        <w:rPr>
          <w:color w:val="000000"/>
        </w:rPr>
        <w:t>baġitarja</w:t>
      </w:r>
      <w:proofErr w:type="spellEnd"/>
      <w:r>
        <w:rPr>
          <w:color w:val="000000"/>
        </w:rPr>
        <w:t xml:space="preserve"> l-ġdida tkun tkopri l-</w:t>
      </w:r>
      <w:proofErr w:type="spellStart"/>
      <w:r>
        <w:rPr>
          <w:color w:val="000000"/>
        </w:rPr>
        <w:t>kost</w:t>
      </w:r>
      <w:proofErr w:type="spellEnd"/>
      <w:r>
        <w:rPr>
          <w:color w:val="000000"/>
        </w:rPr>
        <w:t xml:space="preserve"> tal-aġenti kuntrattwali u nfiq amministrattiv ieħor għas-Segretarjat tal-Bord ta’ Analiżi tal-Prestazzjoni, il-Bord ta’ Analiżi tal-Prestazzjoni u l-Bord ta’ Kooperazzjoni tal-Awtoritajiet </w:t>
      </w:r>
      <w:proofErr w:type="spellStart"/>
      <w:r>
        <w:rPr>
          <w:color w:val="000000"/>
        </w:rPr>
        <w:t>Superviżorji</w:t>
      </w:r>
      <w:proofErr w:type="spellEnd"/>
      <w:r>
        <w:rPr>
          <w:color w:val="000000"/>
        </w:rPr>
        <w:t xml:space="preserve"> Nazzjonali bħall-assistenza teknika, il-</w:t>
      </w:r>
      <w:proofErr w:type="spellStart"/>
      <w:r>
        <w:rPr>
          <w:color w:val="000000"/>
        </w:rPr>
        <w:t>kostijiet</w:t>
      </w:r>
      <w:proofErr w:type="spellEnd"/>
      <w:r>
        <w:rPr>
          <w:color w:val="000000"/>
        </w:rPr>
        <w:t xml:space="preserve"> tal-esperti, il-kuntratti għall-forniment tad-data, l-istudji esterni u għal servizzi ta’ konsulenza addizzjonali, filwaqt li l-pożizzjonijiet fit-tabella tal-persunal ser jiġu </w:t>
      </w:r>
      <w:proofErr w:type="spellStart"/>
      <w:r>
        <w:rPr>
          <w:color w:val="000000"/>
        </w:rPr>
        <w:t>ffinanzjati</w:t>
      </w:r>
      <w:proofErr w:type="spellEnd"/>
      <w:r>
        <w:rPr>
          <w:color w:val="000000"/>
        </w:rPr>
        <w:t xml:space="preserve"> mil-linja </w:t>
      </w:r>
      <w:proofErr w:type="spellStart"/>
      <w:r>
        <w:rPr>
          <w:color w:val="000000"/>
        </w:rPr>
        <w:t>baġitarja</w:t>
      </w:r>
      <w:proofErr w:type="spellEnd"/>
      <w:r>
        <w:rPr>
          <w:color w:val="000000"/>
        </w:rPr>
        <w:t xml:space="preserve"> amministrattiva taħt l-</w:t>
      </w:r>
      <w:proofErr w:type="spellStart"/>
      <w:r>
        <w:rPr>
          <w:color w:val="000000"/>
        </w:rPr>
        <w:t>Intestatura</w:t>
      </w:r>
      <w:proofErr w:type="spellEnd"/>
      <w:r>
        <w:rPr>
          <w:color w:val="000000"/>
        </w:rPr>
        <w:t xml:space="preserve"> 7, b’rispett sħiħ tar-Regolament tal-Qafas Finanzjarju </w:t>
      </w:r>
      <w:proofErr w:type="spellStart"/>
      <w:r>
        <w:rPr>
          <w:color w:val="000000"/>
        </w:rPr>
        <w:t>Pluriennali</w:t>
      </w:r>
      <w:proofErr w:type="spellEnd"/>
      <w:r>
        <w:rPr>
          <w:color w:val="000000"/>
        </w:rPr>
        <w:t xml:space="preserve"> attwali. Sa fejn ikun possibbli, tali finanzjament taħt l-FNE għandu jkun mingħajr preġudizzju għall-fondi diġà allokati fl-aħħar Programm ta’ Ħidma dwar it-Trasport tal-FNE.</w:t>
      </w:r>
    </w:p>
    <w:p w:rsidR="00E365E1" w:rsidRPr="003465A3" w:rsidRDefault="00124192" w:rsidP="00124192">
      <w:pPr>
        <w:widowControl/>
      </w:pPr>
      <w:r>
        <w:rPr>
          <w:color w:val="000000"/>
        </w:rPr>
        <w:t xml:space="preserve">Il-finanzjament taħt l-FNE ta’ aġenti kuntrattwali u nefqiet amministrattivi oħra għas-Segretarjat tal-Bord ta’ Analiżi tal-Prestazzjoni, il-Bord ta’ Analiżi tal-Prestazzjoni u l-Bord ta’ Kooperazzjoni tal-Awtoritajiet </w:t>
      </w:r>
      <w:proofErr w:type="spellStart"/>
      <w:r>
        <w:rPr>
          <w:color w:val="000000"/>
        </w:rPr>
        <w:t>Superviżorji</w:t>
      </w:r>
      <w:proofErr w:type="spellEnd"/>
      <w:r>
        <w:rPr>
          <w:color w:val="000000"/>
        </w:rPr>
        <w:t xml:space="preserve"> Nazzjonali ma għandux jistabbilixxi </w:t>
      </w:r>
      <w:proofErr w:type="spellStart"/>
      <w:r>
        <w:rPr>
          <w:color w:val="000000"/>
        </w:rPr>
        <w:t>preċedent</w:t>
      </w:r>
      <w:proofErr w:type="spellEnd"/>
      <w:r>
        <w:rPr>
          <w:color w:val="000000"/>
        </w:rPr>
        <w:t xml:space="preserve"> għall-finanzjament tas-Segretarjat ta’ bordijiet oħra. Ma għandu jippreġudika bl-ebda mod l-arranġamenti ta’ finanzjament li għandhom jiġu miftiehma fil-qafas tar-Regolament tal-Qafas Finanzjarju </w:t>
      </w:r>
      <w:proofErr w:type="spellStart"/>
      <w:r>
        <w:rPr>
          <w:color w:val="000000"/>
        </w:rPr>
        <w:t>Pluriennali</w:t>
      </w:r>
      <w:proofErr w:type="spellEnd"/>
      <w:r>
        <w:rPr>
          <w:color w:val="000000"/>
        </w:rPr>
        <w:t xml:space="preserve"> li jmiss.</w:t>
      </w:r>
    </w:p>
    <w:sectPr w:rsidR="00E365E1" w:rsidRPr="003465A3" w:rsidSect="003465A3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1B89" w:rsidRPr="003465A3" w:rsidRDefault="005A1B89">
      <w:r w:rsidRPr="003465A3">
        <w:separator/>
      </w:r>
    </w:p>
  </w:endnote>
  <w:endnote w:type="continuationSeparator" w:id="0">
    <w:p w:rsidR="005A1B89" w:rsidRPr="003465A3" w:rsidRDefault="005A1B89">
      <w:r w:rsidRPr="003465A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465A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465A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465A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1B89" w:rsidRPr="003465A3" w:rsidRDefault="005A1B89">
      <w:r w:rsidRPr="003465A3">
        <w:separator/>
      </w:r>
    </w:p>
  </w:footnote>
  <w:footnote w:type="continuationSeparator" w:id="0">
    <w:p w:rsidR="005A1B89" w:rsidRPr="003465A3" w:rsidRDefault="005A1B89">
      <w:r w:rsidRPr="003465A3">
        <w:continuationSeparator/>
      </w:r>
    </w:p>
  </w:footnote>
  <w:footnote w:id="1">
    <w:p w:rsidR="00DA6A81" w:rsidRPr="003465A3" w:rsidRDefault="00DA6A81" w:rsidP="003465A3">
      <w:pPr>
        <w:pStyle w:val="FootnoteText"/>
        <w:ind w:left="567" w:hanging="567"/>
        <w:rPr>
          <w:sz w:val="24"/>
          <w:lang w:val="mt-MT"/>
        </w:rPr>
      </w:pPr>
      <w:r w:rsidRPr="003465A3">
        <w:rPr>
          <w:rStyle w:val="FootnoteReference"/>
          <w:sz w:val="24"/>
          <w:lang w:val="mt-MT"/>
        </w:rPr>
        <w:footnoteRef/>
      </w:r>
      <w:r w:rsidR="003465A3" w:rsidRPr="003465A3">
        <w:rPr>
          <w:sz w:val="24"/>
          <w:lang w:val="mt-MT"/>
        </w:rPr>
        <w:t xml:space="preserve"> </w:t>
      </w:r>
      <w:r w:rsidR="003465A3" w:rsidRPr="003465A3">
        <w:rPr>
          <w:sz w:val="24"/>
          <w:lang w:val="mt-MT"/>
        </w:rPr>
        <w:tab/>
      </w:r>
      <w:r w:rsidRPr="003465A3">
        <w:rPr>
          <w:sz w:val="24"/>
          <w:lang w:val="mt-MT"/>
        </w:rPr>
        <w:t>ĠU C 378, 9.11.2017, p. 546.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465A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465A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3465A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0/2024"/>
    <w:docVar w:name="dvlangue" w:val="MT"/>
    <w:docVar w:name="dvnumam" w:val="0"/>
    <w:docVar w:name="dvpe" w:val="765.057"/>
    <w:docVar w:name="dvrapporteur" w:val="Rapporteur: "/>
    <w:docVar w:name="dvstar" w:val="***II"/>
    <w:docVar w:name="dvtitre" w:val="Riżoluzzjoni leġiżlattiva tal-Parlament Ewropew tat-22 ta' Ottubru 2024 dwar il-pożizzjoni tal-Kunsill fl-ewwel qari bil-ħsieb li jiġi adottat Regolament tal-Parlament Ewropew u tal-Kunsill dwar l-implimentazzjoni tal-Ajru Uniku Ewropew (riformulazzjoni)(08311/2024 – C10-0114/2024 – 2013/0186(COD))"/>
  </w:docVars>
  <w:rsids>
    <w:rsidRoot w:val="005A1B89"/>
    <w:rsid w:val="00002272"/>
    <w:rsid w:val="00064002"/>
    <w:rsid w:val="000677B9"/>
    <w:rsid w:val="000831BA"/>
    <w:rsid w:val="00084ADB"/>
    <w:rsid w:val="000A42CC"/>
    <w:rsid w:val="000E7DD9"/>
    <w:rsid w:val="0010095E"/>
    <w:rsid w:val="00124192"/>
    <w:rsid w:val="00125B37"/>
    <w:rsid w:val="00186499"/>
    <w:rsid w:val="00187494"/>
    <w:rsid w:val="001F32AE"/>
    <w:rsid w:val="002767FF"/>
    <w:rsid w:val="002B18FE"/>
    <w:rsid w:val="002B5493"/>
    <w:rsid w:val="00343214"/>
    <w:rsid w:val="003465A3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A1B89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55C2E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6A81"/>
    <w:rsid w:val="00DA7FCD"/>
    <w:rsid w:val="00E329D9"/>
    <w:rsid w:val="00E365E1"/>
    <w:rsid w:val="00E51476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  <w:rsid w:val="00FE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9C33F"/>
  <w15:chartTrackingRefBased/>
  <w15:docId w15:val="{C42D07A7-F600-46E5-BDA1-5F7DC871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DA6A81"/>
    <w:pPr>
      <w:spacing w:before="480" w:after="240"/>
    </w:pPr>
  </w:style>
  <w:style w:type="paragraph" w:customStyle="1" w:styleId="NormalHanging12a">
    <w:name w:val="NormalHanging12a"/>
    <w:basedOn w:val="Normal"/>
    <w:rsid w:val="00DA6A81"/>
    <w:pPr>
      <w:spacing w:after="240"/>
      <w:ind w:left="567" w:hanging="567"/>
    </w:pPr>
  </w:style>
  <w:style w:type="character" w:customStyle="1" w:styleId="italic">
    <w:name w:val="italic"/>
    <w:basedOn w:val="DefaultParagraphFont"/>
    <w:rsid w:val="00DA6A81"/>
  </w:style>
  <w:style w:type="paragraph" w:customStyle="1" w:styleId="NormalBold">
    <w:name w:val="NormalBold"/>
    <w:basedOn w:val="Normal"/>
    <w:rsid w:val="00084ADB"/>
    <w:rPr>
      <w:b/>
    </w:rPr>
  </w:style>
  <w:style w:type="paragraph" w:customStyle="1" w:styleId="PageHeading">
    <w:name w:val="PageHeading"/>
    <w:basedOn w:val="Normal"/>
    <w:rsid w:val="00124192"/>
    <w:pPr>
      <w:keepNext/>
      <w:spacing w:after="480"/>
      <w:jc w:val="center"/>
    </w:pPr>
    <w:rPr>
      <w:rFonts w:ascii="Arial" w:hAnsi="Arial" w:cs="Arial"/>
      <w:b/>
    </w:rPr>
  </w:style>
  <w:style w:type="paragraph" w:styleId="BalloonText">
    <w:name w:val="Balloon Text"/>
    <w:basedOn w:val="Normal"/>
    <w:link w:val="BalloonTextChar"/>
    <w:rsid w:val="00B55C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55C2E"/>
    <w:rPr>
      <w:rFonts w:ascii="Segoe UI" w:hAnsi="Segoe UI" w:cs="Segoe UI"/>
      <w:sz w:val="18"/>
      <w:szCs w:val="18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C5CDA-3D35-4C2D-914A-68F22C1E0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3850</Characters>
  <Application>Microsoft Office Word</Application>
  <DocSecurity>0</DocSecurity>
  <Lines>91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2024-10-22T10:39:00Z</dcterms:created>
  <dcterms:modified xsi:type="dcterms:W3CDTF">2024-10-22T10:39:00Z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A10-0010/2024</vt:lpwstr>
  </property>
  <property fmtid="{D5CDD505-2E9C-101B-9397-08002B2CF9AE}" pid="4" name="&lt;Type&gt;">
    <vt:lpwstr>RR</vt:lpwstr>
  </property>
</Properties>
</file>