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13BFD" w:rsidRPr="00247927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13BFD" w:rsidRPr="00247927" w:rsidRDefault="00B46FC7">
            <w:pPr>
              <w:pStyle w:val="EPName"/>
            </w:pPr>
            <w:bookmarkStart w:id="0" w:name="_GoBack"/>
            <w:bookmarkEnd w:id="0"/>
            <w:r w:rsidRPr="00247927">
              <w:t>Európsky parlament</w:t>
            </w:r>
          </w:p>
          <w:p w:rsidR="00713BFD" w:rsidRPr="00247927" w:rsidRDefault="00B46FC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247927">
              <w:t>2024-2029</w:t>
            </w:r>
          </w:p>
        </w:tc>
        <w:tc>
          <w:tcPr>
            <w:tcW w:w="2268" w:type="dxa"/>
            <w:shd w:val="clear" w:color="auto" w:fill="auto"/>
          </w:tcPr>
          <w:p w:rsidR="00713BFD" w:rsidRPr="00247927" w:rsidRDefault="00B46FC7">
            <w:pPr>
              <w:pStyle w:val="EPLogo"/>
            </w:pPr>
            <w:r w:rsidRPr="00247927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13BFD" w:rsidRPr="00247927" w:rsidRDefault="00713BFD">
      <w:pPr>
        <w:pStyle w:val="LineTop"/>
      </w:pPr>
    </w:p>
    <w:p w:rsidR="00713BFD" w:rsidRPr="00247927" w:rsidRDefault="00B46FC7">
      <w:pPr>
        <w:pStyle w:val="EPBodyTA1"/>
      </w:pPr>
      <w:r w:rsidRPr="00247927">
        <w:t>PRIJATÉ TEXTY</w:t>
      </w:r>
    </w:p>
    <w:p w:rsidR="00713BFD" w:rsidRPr="00247927" w:rsidRDefault="00713BFD">
      <w:pPr>
        <w:pStyle w:val="LineBottom"/>
      </w:pPr>
    </w:p>
    <w:p w:rsidR="00713BFD" w:rsidRPr="00247927" w:rsidRDefault="00B46FC7">
      <w:pPr>
        <w:pStyle w:val="ATHeading1"/>
      </w:pPr>
      <w:bookmarkStart w:id="1" w:name="TANumber"/>
      <w:r w:rsidRPr="00247927">
        <w:t>P10_TA(2024)00</w:t>
      </w:r>
      <w:r w:rsidR="00EA267E" w:rsidRPr="00247927">
        <w:t>22</w:t>
      </w:r>
      <w:bookmarkEnd w:id="1"/>
    </w:p>
    <w:p w:rsidR="00713BFD" w:rsidRPr="00247927" w:rsidRDefault="00B46FC7">
      <w:pPr>
        <w:pStyle w:val="ATHeading2"/>
      </w:pPr>
      <w:bookmarkStart w:id="2" w:name="title"/>
      <w:r w:rsidRPr="00247927">
        <w:t>Implementácia jednotného európskeho neba (prepracované znenie)</w:t>
      </w:r>
      <w:bookmarkEnd w:id="2"/>
    </w:p>
    <w:p w:rsidR="00713BFD" w:rsidRPr="00247927" w:rsidRDefault="00B46FC7">
      <w:pPr>
        <w:rPr>
          <w:i/>
          <w:vanish/>
        </w:rPr>
      </w:pPr>
      <w:r w:rsidRPr="00247927">
        <w:rPr>
          <w:i/>
        </w:rPr>
        <w:fldChar w:fldCharType="begin"/>
      </w:r>
      <w:r w:rsidRPr="00247927">
        <w:rPr>
          <w:i/>
        </w:rPr>
        <w:instrText xml:space="preserve"> TC"(</w:instrText>
      </w:r>
      <w:bookmarkStart w:id="3" w:name="DocNumber"/>
      <w:r w:rsidRPr="00247927">
        <w:rPr>
          <w:i/>
        </w:rPr>
        <w:instrText>A10-0010/2024</w:instrText>
      </w:r>
      <w:bookmarkEnd w:id="3"/>
      <w:r w:rsidRPr="00247927">
        <w:rPr>
          <w:i/>
        </w:rPr>
        <w:instrText xml:space="preserve"> - Spravodajcovia: Jens Gieseke, Johan Danielsson)"\l3 \n&gt; \* MERGEFORMAT </w:instrText>
      </w:r>
      <w:r w:rsidRPr="00247927">
        <w:rPr>
          <w:i/>
        </w:rPr>
        <w:fldChar w:fldCharType="end"/>
      </w:r>
    </w:p>
    <w:p w:rsidR="00713BFD" w:rsidRPr="00247927" w:rsidRDefault="00B46FC7">
      <w:pPr>
        <w:rPr>
          <w:vanish/>
        </w:rPr>
      </w:pPr>
      <w:bookmarkStart w:id="4" w:name="Commission"/>
      <w:r w:rsidRPr="00247927">
        <w:rPr>
          <w:vanish/>
        </w:rPr>
        <w:t>Výbor pre dopravu a cestovný ruch</w:t>
      </w:r>
      <w:bookmarkEnd w:id="4"/>
    </w:p>
    <w:p w:rsidR="00713BFD" w:rsidRPr="00247927" w:rsidRDefault="00B46FC7">
      <w:pPr>
        <w:rPr>
          <w:vanish/>
        </w:rPr>
      </w:pPr>
      <w:bookmarkStart w:id="5" w:name="PE"/>
      <w:r w:rsidRPr="00247927">
        <w:rPr>
          <w:vanish/>
        </w:rPr>
        <w:t>PE765.057</w:t>
      </w:r>
      <w:bookmarkEnd w:id="5"/>
    </w:p>
    <w:p w:rsidR="00713BFD" w:rsidRPr="00247927" w:rsidRDefault="00B46FC7">
      <w:pPr>
        <w:pStyle w:val="ATHeading3"/>
      </w:pPr>
      <w:bookmarkStart w:id="6" w:name="Sujet"/>
      <w:r w:rsidRPr="00247927">
        <w:t>Legislatívne uznesenie Európskeho parlamentu z 22. októbra 2024 k pozícii Rady v prvom čítaní na účely prijatia nariadenia Európskeho parlamentu a Rady o implementácii jednotného európskeho neba (prepracované znenie)</w:t>
      </w:r>
      <w:bookmarkEnd w:id="6"/>
      <w:r w:rsidRPr="00247927">
        <w:t xml:space="preserve"> </w:t>
      </w:r>
      <w:bookmarkStart w:id="7" w:name="References"/>
      <w:r w:rsidRPr="00247927">
        <w:t>(08311/2024 – C10-0114/2024 – 2013/0186(COD))</w:t>
      </w:r>
      <w:bookmarkEnd w:id="7"/>
    </w:p>
    <w:p w:rsidR="00713BFD" w:rsidRPr="00247927" w:rsidRDefault="00713BFD"/>
    <w:p w:rsidR="00713BFD" w:rsidRPr="00247927" w:rsidRDefault="00B46FC7">
      <w:pPr>
        <w:pStyle w:val="NormalBold"/>
      </w:pPr>
      <w:bookmarkStart w:id="8" w:name="TextBodyBegin"/>
      <w:bookmarkEnd w:id="8"/>
      <w:r w:rsidRPr="00247927">
        <w:t>(Riadny legislatívny postup: druhé čítanie)</w:t>
      </w:r>
    </w:p>
    <w:p w:rsidR="00713BFD" w:rsidRPr="00247927" w:rsidRDefault="00B46FC7">
      <w:pPr>
        <w:pStyle w:val="EPComma"/>
      </w:pPr>
      <w:r w:rsidRPr="00247927">
        <w:rPr>
          <w:i/>
        </w:rPr>
        <w:t>Európsky parlament</w:t>
      </w:r>
      <w:r w:rsidRPr="00247927">
        <w:t>,</w:t>
      </w:r>
    </w:p>
    <w:p w:rsidR="00713BFD" w:rsidRPr="00247927" w:rsidRDefault="00B46FC7">
      <w:pPr>
        <w:pStyle w:val="NormalHanging12a"/>
      </w:pPr>
      <w:r w:rsidRPr="00247927">
        <w:t>–</w:t>
      </w:r>
      <w:r w:rsidRPr="00247927">
        <w:tab/>
        <w:t>so zreteľom na pozíciu Rady v prvom čítaní (08311/2024 – C10</w:t>
      </w:r>
      <w:r w:rsidRPr="00247927">
        <w:noBreakHyphen/>
        <w:t>0114/2024),</w:t>
      </w:r>
    </w:p>
    <w:p w:rsidR="00713BFD" w:rsidRPr="00247927" w:rsidRDefault="00B46FC7">
      <w:pPr>
        <w:pStyle w:val="NormalHanging12a"/>
      </w:pPr>
      <w:r w:rsidRPr="00247927">
        <w:t>–</w:t>
      </w:r>
      <w:r w:rsidRPr="00247927">
        <w:tab/>
        <w:t>so zreteľom na svoju pozíciu v prvom čítaní</w:t>
      </w:r>
      <w:r w:rsidRPr="00247927">
        <w:rPr>
          <w:rStyle w:val="FootnoteReference"/>
        </w:rPr>
        <w:footnoteReference w:id="1"/>
      </w:r>
      <w:r w:rsidRPr="00247927">
        <w:t xml:space="preserve"> k návrhu Komisie pre Európsky parlament a Radu (COM(2013)0410),</w:t>
      </w:r>
    </w:p>
    <w:p w:rsidR="00713BFD" w:rsidRPr="00247927" w:rsidRDefault="00B46FC7">
      <w:pPr>
        <w:pStyle w:val="NormalHanging12a"/>
      </w:pPr>
      <w:r w:rsidRPr="00247927">
        <w:t>–</w:t>
      </w:r>
      <w:r w:rsidRPr="00247927">
        <w:tab/>
        <w:t>so zreteľom na zmenený návrh Komisie (COM(2020)0579),</w:t>
      </w:r>
    </w:p>
    <w:p w:rsidR="00713BFD" w:rsidRPr="00247927" w:rsidRDefault="00B46FC7">
      <w:pPr>
        <w:pStyle w:val="NormalHanging12a"/>
      </w:pPr>
      <w:r w:rsidRPr="00247927">
        <w:t>–</w:t>
      </w:r>
      <w:r w:rsidRPr="00247927">
        <w:tab/>
        <w:t>so zreteľom na návrh Komisie pre Európsky parlament a Radu (COM(2020)0577 – 2020/0264(COD)),</w:t>
      </w:r>
    </w:p>
    <w:p w:rsidR="00713BFD" w:rsidRPr="00247927" w:rsidRDefault="00B46FC7">
      <w:pPr>
        <w:pStyle w:val="NormalHanging12a"/>
      </w:pPr>
      <w:r w:rsidRPr="00247927">
        <w:t>–</w:t>
      </w:r>
      <w:r w:rsidRPr="00247927">
        <w:tab/>
        <w:t>so zreteľom na článok 294 ods. 7 Zmluvy o fungovaní Európskej únie,</w:t>
      </w:r>
    </w:p>
    <w:p w:rsidR="00713BFD" w:rsidRPr="00247927" w:rsidRDefault="00B46FC7">
      <w:pPr>
        <w:pStyle w:val="NormalHanging12a"/>
      </w:pPr>
      <w:r w:rsidRPr="00247927">
        <w:t>–</w:t>
      </w:r>
      <w:r w:rsidRPr="00247927">
        <w:tab/>
        <w:t>so zreteľom na článok 68 rokovacieho poriadku,</w:t>
      </w:r>
    </w:p>
    <w:p w:rsidR="00713BFD" w:rsidRPr="00247927" w:rsidRDefault="00B46FC7">
      <w:pPr>
        <w:pStyle w:val="NormalHanging12a"/>
      </w:pPr>
      <w:r w:rsidRPr="00247927">
        <w:t>–</w:t>
      </w:r>
      <w:r w:rsidRPr="00247927">
        <w:tab/>
        <w:t xml:space="preserve">so zreteľom na odporúčanie </w:t>
      </w:r>
      <w:r w:rsidR="00996084" w:rsidRPr="00247927">
        <w:t xml:space="preserve">do druhého čítania </w:t>
      </w:r>
      <w:r w:rsidRPr="00247927">
        <w:t>Výboru pre dopravu a cestovný ruch (A10-0010/2024),</w:t>
      </w:r>
    </w:p>
    <w:p w:rsidR="00713BFD" w:rsidRPr="00247927" w:rsidRDefault="00B46FC7">
      <w:pPr>
        <w:pStyle w:val="NormalHanging12a"/>
      </w:pPr>
      <w:r w:rsidRPr="00247927">
        <w:t>1.</w:t>
      </w:r>
      <w:r w:rsidRPr="00247927">
        <w:tab/>
        <w:t>schvaľuje pozíciu Rady v prvom čítaní;</w:t>
      </w:r>
    </w:p>
    <w:p w:rsidR="00713BFD" w:rsidRPr="00247927" w:rsidRDefault="00B46FC7">
      <w:pPr>
        <w:pStyle w:val="NormalHanging12a"/>
      </w:pPr>
      <w:r w:rsidRPr="00247927">
        <w:t>2.</w:t>
      </w:r>
      <w:r w:rsidRPr="00247927">
        <w:tab/>
        <w:t>domnieva sa, že v dôsledku zapracovania obsahu návrhu Komisie COM(2020)0577 do tejto pozície sa legislatívny postup 2020/0264(COD) stal bezpredmetný;</w:t>
      </w:r>
    </w:p>
    <w:p w:rsidR="00713BFD" w:rsidRPr="00247927" w:rsidRDefault="00B46FC7">
      <w:pPr>
        <w:pStyle w:val="NormalHanging12a"/>
      </w:pPr>
      <w:r w:rsidRPr="00247927">
        <w:lastRenderedPageBreak/>
        <w:t>3.</w:t>
      </w:r>
      <w:r w:rsidRPr="00247927">
        <w:tab/>
        <w:t>schvaľuje spoločné vyhlásenie Európskeho parlamentu a Rady, ktoré je uvedené v prílohe k tomuto uzneseniu;</w:t>
      </w:r>
    </w:p>
    <w:p w:rsidR="00713BFD" w:rsidRPr="00247927" w:rsidRDefault="00B46FC7">
      <w:pPr>
        <w:pStyle w:val="NormalHanging12a"/>
      </w:pPr>
      <w:r w:rsidRPr="00247927">
        <w:t>4.</w:t>
      </w:r>
      <w:r w:rsidRPr="00247927">
        <w:tab/>
        <w:t>konštatuje, že akt bol prijatý v súlade s pozíciou Rady;</w:t>
      </w:r>
    </w:p>
    <w:p w:rsidR="00713BFD" w:rsidRPr="00247927" w:rsidRDefault="00B46FC7">
      <w:pPr>
        <w:pStyle w:val="NormalHanging12a"/>
      </w:pPr>
      <w:r w:rsidRPr="00247927">
        <w:t>5.</w:t>
      </w:r>
      <w:r w:rsidRPr="00247927">
        <w:tab/>
        <w:t>poveruje svoju predsedníčku, aby podpísala akt spoločne s predsedom Rady, v súlade s článkom 297 ods. 1 Zmluvy o fungovaní Európskej únie;</w:t>
      </w:r>
    </w:p>
    <w:p w:rsidR="00713BFD" w:rsidRPr="00247927" w:rsidRDefault="00B46FC7">
      <w:pPr>
        <w:pStyle w:val="NormalHanging12a"/>
      </w:pPr>
      <w:r w:rsidRPr="00247927">
        <w:t>6.</w:t>
      </w:r>
      <w:r w:rsidRPr="00247927">
        <w:tab/>
        <w:t xml:space="preserve">poveruje svojho generálneho tajomníka, aby podpísal akt po tom, čo sa overí, že všetky postupy boli náležite ukončené, a aby po dohode s generálnym tajomníkom Rady zabezpečil jeho uverejnenie v </w:t>
      </w:r>
      <w:r w:rsidRPr="00247927">
        <w:rPr>
          <w:i/>
        </w:rPr>
        <w:t>Úradnom vestníku Európskej únie</w:t>
      </w:r>
      <w:r w:rsidRPr="00247927">
        <w:t>;</w:t>
      </w:r>
    </w:p>
    <w:p w:rsidR="00713BFD" w:rsidRPr="00247927" w:rsidRDefault="00B46FC7">
      <w:pPr>
        <w:pStyle w:val="NormalHanging12a"/>
        <w:sectPr w:rsidR="00713BFD" w:rsidRPr="00247927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Page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r w:rsidRPr="00247927">
        <w:t>7.</w:t>
      </w:r>
      <w:r w:rsidRPr="00247927">
        <w:tab/>
        <w:t>poveruje svoju predsedníčku, aby postúpila túto pozíciu Rade, Komisii a národným parlamentom.</w:t>
      </w:r>
    </w:p>
    <w:p w:rsidR="00713BFD" w:rsidRPr="00247927" w:rsidRDefault="00B46FC7">
      <w:pPr>
        <w:pStyle w:val="PageHeading"/>
        <w:jc w:val="right"/>
        <w:rPr>
          <w:rFonts w:ascii="Times New Roman" w:hAnsi="Times New Roman" w:cs="Times New Roman"/>
          <w:b w:val="0"/>
        </w:rPr>
      </w:pPr>
      <w:bookmarkStart w:id="9" w:name="_Toc358105115"/>
      <w:bookmarkStart w:id="10" w:name="_Toc180400951"/>
      <w:r w:rsidRPr="00247927">
        <w:rPr>
          <w:rFonts w:ascii="Times New Roman" w:hAnsi="Times New Roman" w:cs="Times New Roman"/>
          <w:b w:val="0"/>
        </w:rPr>
        <w:lastRenderedPageBreak/>
        <w:t>PRÍLOHA K LEGISLATÍVNEMU UZNESENIU</w:t>
      </w:r>
      <w:bookmarkEnd w:id="9"/>
      <w:bookmarkEnd w:id="10"/>
    </w:p>
    <w:p w:rsidR="00713BFD" w:rsidRPr="00247927" w:rsidRDefault="00B46FC7">
      <w:pPr>
        <w:pStyle w:val="PageHeading"/>
        <w:rPr>
          <w:rFonts w:ascii="Times New Roman" w:hAnsi="Times New Roman" w:cs="Times New Roman"/>
        </w:rPr>
      </w:pPr>
      <w:bookmarkStart w:id="11" w:name="_Toc180400952"/>
      <w:r w:rsidRPr="00247927">
        <w:rPr>
          <w:rFonts w:ascii="Times New Roman" w:hAnsi="Times New Roman" w:cs="Times New Roman"/>
        </w:rPr>
        <w:t>SPOLOČNÉ VYHLÁSENIE EURÓPSKEHO PARLAMENTU A RADY EURÓPSKEJ ÚNIE</w:t>
      </w:r>
      <w:bookmarkEnd w:id="11"/>
    </w:p>
    <w:p w:rsidR="00713BFD" w:rsidRPr="00247927" w:rsidRDefault="00B46FC7">
      <w:pPr>
        <w:spacing w:after="240"/>
        <w:jc w:val="both"/>
        <w:rPr>
          <w:color w:val="000000"/>
        </w:rPr>
      </w:pPr>
      <w:r w:rsidRPr="00247927">
        <w:rPr>
          <w:color w:val="000000"/>
        </w:rPr>
        <w:t>Bez toho, aby boli dotknuté právomoci rozpočtového orgánu v rámci ročného rozpočtového postupu a právomoci Komisie zostaviť návrh rozpočtu, Európsky parlament a Rada vyzývajú Komisiu, aby v rámci ročného rozpočtového postupu navrhla vytvorenie dodatočného rozpočtového riadka pre administratívnu podporu v rámci Nástroja na prepájanie Európy (NPE), ktorá bude financovaná z dostupných rozpočtových prostriedkov NPE, ako sa uvádza v legislatívnom finančnom výkaze, ktorý poskytla Komisia. Z tohto nového rozpočtového riadka by sa financovali náklady na zmluvných zamestnancov a iné administratívne výdavky sekretariátu rady pre preskúmanie výkonnosti, rady pre preskúmanie výkonnosti a rady pre spoluprácu národných dozorných orgánov, ako sú náklady na technickú pomoc, expertov, zmluvy o poskytovaní údajov, externé štúdie a dodatočné poradenské služby, zatiaľ čo pracovné miesta v pláne pracovných miest sa budú financovať z rozpočtového riadka pre administratívne výdavky v rámci okruhu 7, a to pri plnom rešpektovaní súčasného nariadenia o viacročnom finančnom rámci. Pokiaľ je to možné, takýmto financovaním v rámci NPE by nemali byť dotknuté finančné prostriedky, ktoré už boli vyčlenené v najnovšom pracovnom programe NPE pre oblasť dopravy.</w:t>
      </w:r>
    </w:p>
    <w:p w:rsidR="00713BFD" w:rsidRPr="00247927" w:rsidRDefault="00B46FC7">
      <w:pPr>
        <w:spacing w:after="240"/>
        <w:jc w:val="both"/>
        <w:rPr>
          <w:b/>
        </w:rPr>
      </w:pPr>
      <w:r w:rsidRPr="00247927">
        <w:rPr>
          <w:color w:val="000000"/>
        </w:rPr>
        <w:t>Financovanie zmluvných zamestnancov a iných administratívnych výdavkov sekretariátu rady pre preskúmanie výkonnosti, rady pre preskúmanie výkonnosti a rady pre spoluprácu národných dozorných orgánov v rámci NPE by nemalo predstavovať precedens pre financovanie sekretariátu iných rád. Nemalo by žiadnym spôsobom ovplyvniť mechanizmy financovania, ktoré sa majú dohodnúť v rámci budúceho nariadenia o viacročnom finančnom rámci.</w:t>
      </w:r>
    </w:p>
    <w:p w:rsidR="00713BFD" w:rsidRPr="00247927" w:rsidRDefault="00713BFD">
      <w:pPr>
        <w:pStyle w:val="NormalHanging12a"/>
      </w:pPr>
    </w:p>
    <w:p w:rsidR="00713BFD" w:rsidRPr="00247927" w:rsidRDefault="00713BFD">
      <w:bookmarkStart w:id="12" w:name="TextBodyEnd"/>
      <w:bookmarkEnd w:id="12"/>
    </w:p>
    <w:sectPr w:rsidR="00713BFD" w:rsidRPr="00247927">
      <w:footnotePr>
        <w:numRestart w:val="eachPage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3BFD" w:rsidRDefault="00B46FC7">
      <w:r>
        <w:separator/>
      </w:r>
    </w:p>
  </w:endnote>
  <w:endnote w:type="continuationSeparator" w:id="0">
    <w:p w:rsidR="00713BFD" w:rsidRDefault="00B46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DE"/>
    <w:family w:val="swiss"/>
    <w:pitch w:val="variable"/>
    <w:sig w:usb0="00000000" w:usb1="00000000" w:usb2="00000000" w:usb3="00000000" w:csb0="00010001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3BFD" w:rsidRDefault="00713BF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3BFD" w:rsidRDefault="00713BF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3BFD" w:rsidRDefault="00713BF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3BFD" w:rsidRDefault="00B46FC7">
      <w:r>
        <w:separator/>
      </w:r>
    </w:p>
  </w:footnote>
  <w:footnote w:type="continuationSeparator" w:id="0">
    <w:p w:rsidR="00713BFD" w:rsidRDefault="00B46FC7">
      <w:r>
        <w:continuationSeparator/>
      </w:r>
    </w:p>
  </w:footnote>
  <w:footnote w:id="1">
    <w:p w:rsidR="00713BFD" w:rsidRDefault="00B46FC7">
      <w:pPr>
        <w:pStyle w:val="FootnoteText"/>
        <w:ind w:left="567" w:hanging="567"/>
        <w:rPr>
          <w:sz w:val="24"/>
          <w:lang w:val="sk-SK"/>
        </w:rPr>
      </w:pPr>
      <w:r>
        <w:rPr>
          <w:rStyle w:val="FootnoteReference"/>
          <w:sz w:val="24"/>
          <w:lang w:val="sk-SK"/>
        </w:rPr>
        <w:footnoteRef/>
      </w:r>
      <w:r>
        <w:rPr>
          <w:sz w:val="24"/>
          <w:lang w:val="sk-SK"/>
        </w:rPr>
        <w:t xml:space="preserve"> </w:t>
      </w:r>
      <w:r>
        <w:rPr>
          <w:sz w:val="24"/>
          <w:lang w:val="sk-SK"/>
        </w:rPr>
        <w:tab/>
        <w:t>Ú. v. EÚ C 378, 9.11.2017, s. 546.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3BFD" w:rsidRDefault="00713BF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3BFD" w:rsidRDefault="00713BF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3BFD" w:rsidRDefault="00713BF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10-0010/2024"/>
    <w:docVar w:name="dvlangue" w:val="SK"/>
    <w:docVar w:name="dvnumam" w:val="0"/>
    <w:docVar w:name="dvpe" w:val="765.057"/>
    <w:docVar w:name="dvrapporteur" w:val="Spravodajcovia: "/>
    <w:docVar w:name="dvstar" w:val="***II"/>
    <w:docVar w:name="dvtitre" w:val="Legislatívne uznesenie Európskeho parlamentu z xx. októbra 2024k pozícii Rady v prvom čítaní na účely prijatia nariadenia Európskeho parlamentu a Rady o implementácii jednotného európskeho neba (prepracované znenie)(08311/2024 – C10-0114/2024 – 2013/0186(COD))"/>
  </w:docVars>
  <w:rsids>
    <w:rsidRoot w:val="00713BFD"/>
    <w:rsid w:val="00247927"/>
    <w:rsid w:val="00713BFD"/>
    <w:rsid w:val="00996084"/>
    <w:rsid w:val="00B46FC7"/>
    <w:rsid w:val="00D95997"/>
    <w:rsid w:val="00EA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0A9166"/>
  <w15:chartTrackingRefBased/>
  <w15:docId w15:val="{FF695DAE-6317-4A1A-8703-6BEBAD1B0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z w:val="24"/>
      <w:lang w:val="sk-SK"/>
    </w:rPr>
  </w:style>
  <w:style w:type="paragraph" w:styleId="Heading1">
    <w:name w:val="heading 1"/>
    <w:basedOn w:val="Normal"/>
    <w:next w:val="Normal"/>
    <w:semiHidden/>
    <w:qFormat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Pr>
      <w:b w:val="0"/>
      <w:vertAlign w:val="superscript"/>
    </w:rPr>
  </w:style>
  <w:style w:type="paragraph" w:styleId="FootnoteText">
    <w:name w:val="footnote text"/>
    <w:basedOn w:val="Normal"/>
    <w:link w:val="FootnoteTextChar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Pr>
      <w:sz w:val="22"/>
      <w:lang w:val="fr-FR" w:eastAsia="fr-FR"/>
    </w:rPr>
  </w:style>
  <w:style w:type="character" w:styleId="PageNumber">
    <w:name w:val="page number"/>
    <w:semiHidden/>
  </w:style>
  <w:style w:type="paragraph" w:styleId="TOC2">
    <w:name w:val="toc 2"/>
    <w:basedOn w:val="Normal"/>
    <w:next w:val="Normal"/>
    <w:autoRedefine/>
    <w:semiHidden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pPr>
      <w:jc w:val="right"/>
    </w:pPr>
  </w:style>
  <w:style w:type="paragraph" w:customStyle="1" w:styleId="EPComma">
    <w:name w:val="EPComma"/>
    <w:basedOn w:val="Normal"/>
    <w:pPr>
      <w:spacing w:before="480" w:after="240"/>
    </w:pPr>
  </w:style>
  <w:style w:type="paragraph" w:customStyle="1" w:styleId="NormalBold">
    <w:name w:val="NormalBold"/>
    <w:basedOn w:val="Normal"/>
    <w:rPr>
      <w:b/>
    </w:rPr>
  </w:style>
  <w:style w:type="paragraph" w:customStyle="1" w:styleId="NormalHanging12a">
    <w:name w:val="NormalHanging12a"/>
    <w:basedOn w:val="Normal"/>
    <w:pPr>
      <w:spacing w:after="240"/>
      <w:ind w:left="567" w:hanging="567"/>
    </w:pPr>
  </w:style>
  <w:style w:type="character" w:customStyle="1" w:styleId="italic">
    <w:name w:val="italic"/>
    <w:basedOn w:val="DefaultParagraphFont"/>
  </w:style>
  <w:style w:type="paragraph" w:customStyle="1" w:styleId="PageHeading">
    <w:name w:val="PageHeading"/>
    <w:basedOn w:val="Normal"/>
    <w:pPr>
      <w:keepNext/>
      <w:spacing w:after="480"/>
      <w:jc w:val="center"/>
    </w:pPr>
    <w:rPr>
      <w:rFonts w:ascii="Arial" w:hAnsi="Arial" w:cs="Arial"/>
      <w:b/>
    </w:rPr>
  </w:style>
  <w:style w:type="character" w:styleId="CommentReference">
    <w:name w:val="annotation reference"/>
    <w:basedOn w:val="DefaultParagraphFont"/>
    <w:rPr>
      <w:sz w:val="16"/>
      <w:szCs w:val="16"/>
    </w:rPr>
  </w:style>
  <w:style w:type="paragraph" w:styleId="CommentText">
    <w:name w:val="annotation text"/>
    <w:basedOn w:val="Normal"/>
    <w:link w:val="CommentTextChar"/>
    <w:rPr>
      <w:sz w:val="20"/>
    </w:rPr>
  </w:style>
  <w:style w:type="character" w:customStyle="1" w:styleId="CommentTextChar">
    <w:name w:val="Comment Text Char"/>
    <w:basedOn w:val="DefaultParagraphFont"/>
    <w:link w:val="CommentText"/>
    <w:rPr>
      <w:lang w:val="sk-SK"/>
    </w:rPr>
  </w:style>
  <w:style w:type="paragraph" w:styleId="CommentSubject">
    <w:name w:val="annotation subject"/>
    <w:basedOn w:val="CommentText"/>
    <w:next w:val="CommentText"/>
    <w:link w:val="CommentSubjectChar"/>
    <w:rPr>
      <w:b/>
      <w:bCs/>
    </w:rPr>
  </w:style>
  <w:style w:type="character" w:customStyle="1" w:styleId="CommentSubjectChar">
    <w:name w:val="Comment Subject Char"/>
    <w:basedOn w:val="CommentTextChar"/>
    <w:link w:val="CommentSubject"/>
    <w:rPr>
      <w:b/>
      <w:bCs/>
      <w:lang w:val="sk-SK"/>
    </w:rPr>
  </w:style>
  <w:style w:type="paragraph" w:styleId="Revision">
    <w:name w:val="Revision"/>
    <w:hidden/>
    <w:uiPriority w:val="99"/>
    <w:semiHidden/>
    <w:rPr>
      <w:sz w:val="24"/>
      <w:lang w:val="sk-SK"/>
    </w:rPr>
  </w:style>
  <w:style w:type="paragraph" w:styleId="BalloonText">
    <w:name w:val="Balloon Text"/>
    <w:basedOn w:val="Normal"/>
    <w:link w:val="BalloonTextChar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E811DD-0B1C-4A4A-BBC5-215FD4AED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512</Words>
  <Characters>3250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SUCHANOVA Monika</dc:creator>
  <cp:keywords/>
  <cp:lastModifiedBy>SUCHANOVA Monika</cp:lastModifiedBy>
  <cp:revision>2</cp:revision>
  <cp:lastPrinted>2004-11-19T15:42:00Z</cp:lastPrinted>
  <dcterms:created xsi:type="dcterms:W3CDTF">2024-10-22T09:32:00Z</dcterms:created>
  <dcterms:modified xsi:type="dcterms:W3CDTF">2024-10-22T09:32:00Z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SK</vt:lpwstr>
  </property>
  <property fmtid="{D5CDD505-2E9C-101B-9397-08002B2CF9AE}" pid="3" name="&lt;FdR&gt;">
    <vt:lpwstr>A10-0010/2024</vt:lpwstr>
  </property>
  <property fmtid="{D5CDD505-2E9C-101B-9397-08002B2CF9AE}" pid="4" name="&lt;Type&gt;">
    <vt:lpwstr>RR</vt:lpwstr>
  </property>
</Properties>
</file>