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0903" w14:paraId="249D3E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C8EC72" w14:textId="77777777" w:rsidR="00751A4A" w:rsidRPr="00B60903" w:rsidRDefault="005F5228" w:rsidP="0010095E">
            <w:pPr>
              <w:pStyle w:val="EPName"/>
            </w:pPr>
            <w:r w:rsidRPr="00B60903">
              <w:t>Evropský parlament</w:t>
            </w:r>
          </w:p>
          <w:p w14:paraId="5623A94E" w14:textId="77777777" w:rsidR="00751A4A" w:rsidRPr="00B609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0903">
              <w:t>2024</w:t>
            </w:r>
            <w:r w:rsidR="00817416" w:rsidRPr="00B60903">
              <w:t>-202</w:t>
            </w:r>
            <w:r w:rsidRPr="00B60903">
              <w:t>9</w:t>
            </w:r>
          </w:p>
        </w:tc>
        <w:tc>
          <w:tcPr>
            <w:tcW w:w="2268" w:type="dxa"/>
            <w:shd w:val="clear" w:color="auto" w:fill="auto"/>
          </w:tcPr>
          <w:p w14:paraId="3122F1A6" w14:textId="77777777" w:rsidR="00751A4A" w:rsidRPr="00B60903" w:rsidRDefault="00187494" w:rsidP="0010095E">
            <w:pPr>
              <w:pStyle w:val="EPLogo"/>
            </w:pPr>
            <w:r w:rsidRPr="00B60903">
              <w:rPr>
                <w:noProof/>
                <w:lang w:val="en-GB"/>
              </w:rPr>
              <w:drawing>
                <wp:inline distT="0" distB="0" distL="0" distR="0" wp14:anchorId="3AB8F4F2" wp14:editId="6499BD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7D3699" w14:textId="77777777" w:rsidR="00D058B8" w:rsidRPr="00B60903" w:rsidRDefault="00D058B8" w:rsidP="004C5D52">
      <w:pPr>
        <w:pStyle w:val="LineTop"/>
      </w:pPr>
    </w:p>
    <w:p w14:paraId="41A4662C" w14:textId="77777777" w:rsidR="00680577" w:rsidRPr="00B60903" w:rsidRDefault="005F5228" w:rsidP="00680577">
      <w:pPr>
        <w:pStyle w:val="EPBodyTA1"/>
      </w:pPr>
      <w:r w:rsidRPr="00B60903">
        <w:t>PŘIJATÉ TEXTY</w:t>
      </w:r>
    </w:p>
    <w:p w14:paraId="5AF0709D" w14:textId="77777777" w:rsidR="00D058B8" w:rsidRPr="00B60903" w:rsidRDefault="00D058B8" w:rsidP="00D058B8">
      <w:pPr>
        <w:pStyle w:val="LineBottom"/>
      </w:pPr>
    </w:p>
    <w:p w14:paraId="551D0D94" w14:textId="79086ECA" w:rsidR="005F5228" w:rsidRPr="00B60903" w:rsidRDefault="005F5228" w:rsidP="005F5228">
      <w:pPr>
        <w:pStyle w:val="ATHeading1"/>
      </w:pPr>
      <w:bookmarkStart w:id="0" w:name="TANumber"/>
      <w:r w:rsidRPr="00B60903">
        <w:t>P10_TA(2024)00</w:t>
      </w:r>
      <w:r w:rsidR="00D37EFC">
        <w:t>23</w:t>
      </w:r>
      <w:bookmarkEnd w:id="0"/>
    </w:p>
    <w:p w14:paraId="569EB8BC" w14:textId="5ABA9962" w:rsidR="005F5228" w:rsidRPr="00B60903" w:rsidRDefault="005F5228" w:rsidP="005F5228">
      <w:pPr>
        <w:pStyle w:val="ATHeading2"/>
      </w:pPr>
      <w:bookmarkStart w:id="1" w:name="title"/>
      <w:r w:rsidRPr="00B60903">
        <w:t>Návrh opravného rozpočtu č. 2/2024: zahrnutí přebytku za rozpočtový rok 2023</w:t>
      </w:r>
      <w:bookmarkEnd w:id="1"/>
    </w:p>
    <w:p w14:paraId="2221F990" w14:textId="77777777" w:rsidR="005F5228" w:rsidRPr="00B60903" w:rsidRDefault="005F5228" w:rsidP="005F5228">
      <w:pPr>
        <w:rPr>
          <w:i/>
          <w:vanish/>
        </w:rPr>
      </w:pPr>
      <w:r w:rsidRPr="00B60903">
        <w:rPr>
          <w:i/>
        </w:rPr>
        <w:fldChar w:fldCharType="begin"/>
      </w:r>
      <w:r w:rsidRPr="00B60903">
        <w:rPr>
          <w:i/>
        </w:rPr>
        <w:instrText xml:space="preserve"> TC"(</w:instrText>
      </w:r>
      <w:bookmarkStart w:id="2" w:name="DocNumber"/>
      <w:r w:rsidRPr="00B60903">
        <w:rPr>
          <w:i/>
        </w:rPr>
        <w:instrText>A10-0005/2024</w:instrText>
      </w:r>
      <w:bookmarkEnd w:id="2"/>
      <w:r w:rsidRPr="00B60903">
        <w:rPr>
          <w:i/>
        </w:rPr>
        <w:instrText xml:space="preserve"> - Zpravodaj: Siegfried </w:instrText>
      </w:r>
      <w:proofErr w:type="spellStart"/>
      <w:r w:rsidRPr="00B60903">
        <w:rPr>
          <w:i/>
        </w:rPr>
        <w:instrText>Mureşan</w:instrText>
      </w:r>
      <w:proofErr w:type="spellEnd"/>
      <w:r w:rsidRPr="00B60903">
        <w:rPr>
          <w:i/>
        </w:rPr>
        <w:instrText xml:space="preserve">)"\l3 \n&gt; \* MERGEFORMAT </w:instrText>
      </w:r>
      <w:r w:rsidRPr="00B60903">
        <w:rPr>
          <w:i/>
        </w:rPr>
        <w:fldChar w:fldCharType="end"/>
      </w:r>
    </w:p>
    <w:p w14:paraId="0C6FC70F" w14:textId="77777777" w:rsidR="005F5228" w:rsidRPr="00B60903" w:rsidRDefault="005F5228" w:rsidP="005F5228">
      <w:pPr>
        <w:rPr>
          <w:vanish/>
        </w:rPr>
      </w:pPr>
      <w:bookmarkStart w:id="3" w:name="Commission"/>
      <w:r w:rsidRPr="00B60903">
        <w:rPr>
          <w:vanish/>
        </w:rPr>
        <w:t>Rozpočtový výbor</w:t>
      </w:r>
      <w:bookmarkEnd w:id="3"/>
    </w:p>
    <w:p w14:paraId="37343156" w14:textId="77777777" w:rsidR="005F5228" w:rsidRPr="00B60903" w:rsidRDefault="005F5228" w:rsidP="005F5228">
      <w:pPr>
        <w:rPr>
          <w:vanish/>
        </w:rPr>
      </w:pPr>
      <w:bookmarkStart w:id="4" w:name="PE"/>
      <w:r w:rsidRPr="00B60903">
        <w:rPr>
          <w:vanish/>
        </w:rPr>
        <w:t>PE763.033</w:t>
      </w:r>
      <w:bookmarkEnd w:id="4"/>
    </w:p>
    <w:p w14:paraId="6855947E" w14:textId="72915AC0" w:rsidR="005F5228" w:rsidRPr="00B60903" w:rsidRDefault="005F5228" w:rsidP="005F5228">
      <w:pPr>
        <w:pStyle w:val="ATHeading3"/>
      </w:pPr>
      <w:bookmarkStart w:id="5" w:name="Sujet"/>
      <w:r w:rsidRPr="00B60903">
        <w:t xml:space="preserve">Usnesení Evropského parlamentu ze dne 22. října 2024 o postoji Rady k návrhu opravného rozpočtu č. 2/2024 Evropské unie na rozpočtový rok 2024 – </w:t>
      </w:r>
      <w:r w:rsidR="009D17F2">
        <w:t>zahrnutí</w:t>
      </w:r>
      <w:r w:rsidR="009D17F2" w:rsidRPr="00B60903">
        <w:t xml:space="preserve"> </w:t>
      </w:r>
      <w:r w:rsidRPr="00B60903">
        <w:t>přebytku z</w:t>
      </w:r>
      <w:r w:rsidR="009D17F2">
        <w:t>a</w:t>
      </w:r>
      <w:r w:rsidRPr="00B60903">
        <w:t> </w:t>
      </w:r>
      <w:r w:rsidR="009D17F2" w:rsidRPr="00B60903">
        <w:t>rozpočtov</w:t>
      </w:r>
      <w:r w:rsidR="009D17F2">
        <w:t>ý</w:t>
      </w:r>
      <w:r w:rsidR="009D17F2" w:rsidRPr="00B60903">
        <w:t xml:space="preserve"> </w:t>
      </w:r>
      <w:r w:rsidRPr="00B60903">
        <w:t>rok 2023</w:t>
      </w:r>
      <w:bookmarkEnd w:id="5"/>
      <w:r w:rsidRPr="00B60903">
        <w:t xml:space="preserve"> </w:t>
      </w:r>
      <w:bookmarkStart w:id="6" w:name="References"/>
      <w:r w:rsidRPr="00B60903">
        <w:t>(12081/2024 – C10-0107/2024 – 2024/0089(BUD))</w:t>
      </w:r>
      <w:bookmarkEnd w:id="6"/>
    </w:p>
    <w:p w14:paraId="362EA753" w14:textId="77777777" w:rsidR="001639E5" w:rsidRPr="00B60903" w:rsidRDefault="001639E5" w:rsidP="001639E5">
      <w:pPr>
        <w:pStyle w:val="EPComma"/>
      </w:pPr>
      <w:bookmarkStart w:id="7" w:name="TextBodyBegin"/>
      <w:bookmarkEnd w:id="7"/>
      <w:r w:rsidRPr="00B60903">
        <w:rPr>
          <w:i/>
        </w:rPr>
        <w:t>Evropský parlament</w:t>
      </w:r>
      <w:r w:rsidRPr="00B60903">
        <w:t>,</w:t>
      </w:r>
    </w:p>
    <w:p w14:paraId="36D5F72A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článek 314 Smlouvy o fungování Evropské unie,</w:t>
      </w:r>
    </w:p>
    <w:p w14:paraId="4977E232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článek 106a Smlouvy o založení Evropského společenství pro atomovou energii,</w:t>
      </w:r>
    </w:p>
    <w:p w14:paraId="172D6D23" w14:textId="54A2B230" w:rsidR="001639E5" w:rsidRDefault="001639E5" w:rsidP="00665E7F">
      <w:pPr>
        <w:pStyle w:val="NormalHanging12a"/>
      </w:pPr>
      <w:r w:rsidRPr="00B60903">
        <w:t>–</w:t>
      </w:r>
      <w:r w:rsidRPr="00B60903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B60903">
        <w:rPr>
          <w:rStyle w:val="FootnoteReference"/>
        </w:rPr>
        <w:footnoteReference w:id="1"/>
      </w:r>
      <w:r w:rsidRPr="00B60903">
        <w:t>, a zejména článek 44 tohoto nařízení,</w:t>
      </w:r>
    </w:p>
    <w:p w14:paraId="44C08A71" w14:textId="77777777" w:rsidR="00D439E7" w:rsidRPr="00D439E7" w:rsidRDefault="00D439E7" w:rsidP="00665E7F">
      <w:pPr>
        <w:pStyle w:val="NormalHanging12a"/>
        <w:rPr>
          <w:szCs w:val="24"/>
        </w:rPr>
      </w:pPr>
      <w:r w:rsidRPr="00D439E7">
        <w:rPr>
          <w:szCs w:val="24"/>
        </w:rPr>
        <w:t>–</w:t>
      </w:r>
      <w:r w:rsidRPr="00D439E7">
        <w:rPr>
          <w:szCs w:val="24"/>
        </w:rPr>
        <w:tab/>
      </w:r>
      <w:r w:rsidRPr="00B57842">
        <w:rPr>
          <w:color w:val="111111"/>
          <w:szCs w:val="24"/>
        </w:rPr>
        <w:t>s ohledem na nařízení Evropského parlamentu a Rady (EU, Euratom) 2024/2509 ze dne 23. září 2024, kterým se stanoví finanční pravidla pro souhrnný rozpočet Unie</w:t>
      </w:r>
      <w:r>
        <w:rPr>
          <w:rStyle w:val="FootnoteReference"/>
          <w:color w:val="111111"/>
          <w:szCs w:val="24"/>
        </w:rPr>
        <w:footnoteReference w:id="2"/>
      </w:r>
      <w:r w:rsidRPr="00B57842">
        <w:rPr>
          <w:color w:val="111111"/>
          <w:szCs w:val="24"/>
        </w:rPr>
        <w:t>, a zejména na článek 44 tohoto nařízení,</w:t>
      </w:r>
    </w:p>
    <w:p w14:paraId="298BE9C4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souhrnný rozpočet Evropské unie na rozpočtový rok 2024 přijatý s konečnou platností dne 22. listopadu 2023</w:t>
      </w:r>
      <w:r w:rsidRPr="00B60903">
        <w:rPr>
          <w:rStyle w:val="FootnoteReference"/>
        </w:rPr>
        <w:footnoteReference w:id="3"/>
      </w:r>
      <w:r w:rsidRPr="00B60903">
        <w:t>,</w:t>
      </w:r>
    </w:p>
    <w:p w14:paraId="7793E070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nařízení Rady (EU, Euratom) 2020/2093 ze dne 17. prosince 2020, kterým se stanoví víceletý finanční rámec na období 2021–2027</w:t>
      </w:r>
      <w:r w:rsidRPr="00B60903">
        <w:rPr>
          <w:rStyle w:val="FootnoteReference"/>
        </w:rPr>
        <w:footnoteReference w:id="4"/>
      </w:r>
      <w:r w:rsidRPr="00B60903">
        <w:t>,</w:t>
      </w:r>
    </w:p>
    <w:p w14:paraId="7F161987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 xml:space="preserve">s ohledem na interinstitucionální dohodu ze dne 16. prosince 2020 mezi Evropským </w:t>
      </w:r>
      <w:r w:rsidRPr="00B60903">
        <w:lastRenderedPageBreak/>
        <w:t>parlamentem, Radou Evropské unie a Evropskou komisí o rozpočtové kázni, spolupráci v rozpočtových záležitostech a řádném finančním řízení, jakož i o nových vlastních zdrojích, včetně plánu zavádění nových vlastních zdrojů</w:t>
      </w:r>
      <w:r w:rsidRPr="00B60903">
        <w:rPr>
          <w:rStyle w:val="FootnoteReference"/>
        </w:rPr>
        <w:footnoteReference w:id="5"/>
      </w:r>
      <w:r w:rsidRPr="00B60903">
        <w:t>,</w:t>
      </w:r>
    </w:p>
    <w:p w14:paraId="0DDE3F2A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rozhodnutí Rady (EU, Euratom) 2020/2053 ze dne 14. prosince 2020 o systému vlastních zdrojů Evropské unie a o zrušení rozhodnutí 2014/335/EU, Euratom</w:t>
      </w:r>
      <w:r w:rsidRPr="00B60903">
        <w:rPr>
          <w:rStyle w:val="FootnoteReference"/>
        </w:rPr>
        <w:footnoteReference w:id="6"/>
      </w:r>
      <w:r w:rsidRPr="00B60903">
        <w:t>,</w:t>
      </w:r>
    </w:p>
    <w:p w14:paraId="2229F01F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návrh opravného rozpočtu č. 2/2024, který Komise přijala dne 9. dubna 2024 (</w:t>
      </w:r>
      <w:proofErr w:type="gramStart"/>
      <w:r w:rsidRPr="00B60903">
        <w:t>COM(2024</w:t>
      </w:r>
      <w:proofErr w:type="gramEnd"/>
      <w:r w:rsidRPr="00B60903">
        <w:t>)0920),</w:t>
      </w:r>
    </w:p>
    <w:p w14:paraId="3DEDA223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postoj k návrhu opravného rozpočtu č. 2/2024, který Rada přijala dne 13. září 2024 a postoupila Evropskému parlamentu dne 16. září 2024 (12081/2024 – C10</w:t>
      </w:r>
      <w:r w:rsidRPr="00B60903">
        <w:noBreakHyphen/>
        <w:t>0107/2024),</w:t>
      </w:r>
    </w:p>
    <w:p w14:paraId="6072007D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 xml:space="preserve">s ohledem na články 96 a 98 jednacího řádu, </w:t>
      </w:r>
    </w:p>
    <w:p w14:paraId="1089AB35" w14:textId="77777777" w:rsidR="001639E5" w:rsidRPr="00B60903" w:rsidRDefault="001639E5" w:rsidP="00665E7F">
      <w:pPr>
        <w:pStyle w:val="NormalHanging12a"/>
      </w:pPr>
      <w:r w:rsidRPr="00B60903">
        <w:t>–</w:t>
      </w:r>
      <w:r w:rsidRPr="00B60903">
        <w:tab/>
        <w:t>s ohledem na zprávu Rozpočtového výboru (A10-0005/2024),</w:t>
      </w:r>
    </w:p>
    <w:p w14:paraId="0C79C408" w14:textId="77777777" w:rsidR="001639E5" w:rsidRPr="00B60903" w:rsidRDefault="001639E5" w:rsidP="00665E7F">
      <w:pPr>
        <w:pStyle w:val="NormalHanging12a"/>
      </w:pPr>
      <w:r w:rsidRPr="00B60903">
        <w:t>A.</w:t>
      </w:r>
      <w:r w:rsidRPr="00B60903">
        <w:tab/>
        <w:t>vzhledem k tomu, že účelem návrhu opravného rozpočtu č. 2/2024 je zapsat do rozpočtu na rok 2024 přebytek z rozpočtového roku 2023, který činí 633 milionů EUR;</w:t>
      </w:r>
    </w:p>
    <w:p w14:paraId="36622E17" w14:textId="77777777" w:rsidR="001639E5" w:rsidRPr="00B60903" w:rsidRDefault="001639E5" w:rsidP="00665E7F">
      <w:pPr>
        <w:pStyle w:val="NormalHanging12a"/>
      </w:pPr>
      <w:r w:rsidRPr="00B60903">
        <w:t>B.</w:t>
      </w:r>
      <w:r w:rsidRPr="00B60903">
        <w:tab/>
        <w:t>vzhledem k tomu, že hlavní složkou tohoto přebytku je kladný zůstatek na straně příjmů ve výši 238,7 milionu EUR a nevyčerpané prostředky ve výši 393,9 milionu EUR;</w:t>
      </w:r>
    </w:p>
    <w:p w14:paraId="6F8EF142" w14:textId="77777777" w:rsidR="001639E5" w:rsidRPr="00B60903" w:rsidRDefault="001639E5" w:rsidP="00665E7F">
      <w:pPr>
        <w:pStyle w:val="NormalHanging12a"/>
      </w:pPr>
      <w:r w:rsidRPr="00B60903">
        <w:t>C.</w:t>
      </w:r>
      <w:r w:rsidRPr="00B60903">
        <w:tab/>
        <w:t>vzhledem k tomu, že na straně příjmů je hlavním důvodem uvedené výše přebytku částka 1 766 milionů EUR, kterou tvoří finanční příjmy, úroky z prodlení a pokuty, jež jsou započteny proti clům ve výši 1 649 milionů EUR, což je méně, než se očekávalo; vzhledem k tomu, že přebytek správních příjmů ve výši 107 milionů EUR lze připsat především vyšší sazbě příspěvků na důchodové zabezpečení, než se předpokládalo, a průběžné aktualizaci platů v lednu 2023, která vedla ke zvýšení daní, dávek a příspěvků na důchodové zabezpečení;</w:t>
      </w:r>
    </w:p>
    <w:p w14:paraId="59CA6710" w14:textId="77777777" w:rsidR="001639E5" w:rsidRPr="00B60903" w:rsidRDefault="001639E5" w:rsidP="00665E7F">
      <w:pPr>
        <w:pStyle w:val="NormalHanging12a"/>
      </w:pPr>
      <w:r w:rsidRPr="00B60903">
        <w:t>D.</w:t>
      </w:r>
      <w:r w:rsidRPr="00B60903">
        <w:tab/>
        <w:t>vzhledem k tomu, že na straně výdajů dosáhly nevyčerpané prostředky na platby ze strany Komise celkem 70 milionů EUR (tj. 0,1 % schválených prostředků na platby); vzhledem k tomu, že ostatní orgány zrušily 48 milionů EUR v prostředcích na platby, což vedlo k zachování nízké míry nevyčerpaných prostředků z rozpočtu na rok 2022;</w:t>
      </w:r>
    </w:p>
    <w:p w14:paraId="44E0B4D7" w14:textId="77777777" w:rsidR="001639E5" w:rsidRPr="00B60903" w:rsidRDefault="001639E5" w:rsidP="00665E7F">
      <w:pPr>
        <w:widowControl/>
        <w:spacing w:after="240"/>
        <w:ind w:left="567" w:hanging="567"/>
      </w:pPr>
      <w:r w:rsidRPr="00B60903">
        <w:t>E.</w:t>
      </w:r>
      <w:r w:rsidRPr="00B60903">
        <w:tab/>
        <w:t xml:space="preserve">vzhledem k tomu, že v návrhu opravného rozpočtu č. 2/2024 činí roční paušální snížení HND v případě Německa, Nizozemska, Dánska, Švédska a Rakouska přibližně 5,4 miliardy EUR čistého; </w:t>
      </w:r>
    </w:p>
    <w:p w14:paraId="7B8688C0" w14:textId="77777777" w:rsidR="001639E5" w:rsidRPr="00B60903" w:rsidRDefault="001639E5" w:rsidP="00665E7F">
      <w:pPr>
        <w:spacing w:after="240"/>
        <w:ind w:left="567" w:hanging="567"/>
        <w:rPr>
          <w:szCs w:val="24"/>
        </w:rPr>
      </w:pPr>
      <w:r w:rsidRPr="00B60903">
        <w:t>F.</w:t>
      </w:r>
      <w:r w:rsidRPr="00B60903">
        <w:tab/>
        <w:t>vzhledem k tomu, že navzdory revizi víceletého finančního rámce (VFR) a zavedení nového nástroje EURI, který má pokrýt vyšší náklady na půjčky v rámci nástroje Evropské unie na podporu oživení, jež jsou ze své podstaty kolísavé a přinášejí do rozpočtových otázek nejistotu, má rozpočet Unie i nadále velmi omezené rozpětí i flexibilitu; vzhledem k tomu, že v této náročné situaci rozpočtové potřeby narůstají;</w:t>
      </w:r>
    </w:p>
    <w:p w14:paraId="7339161F" w14:textId="77777777" w:rsidR="001639E5" w:rsidRPr="00B60903" w:rsidRDefault="001639E5" w:rsidP="00665E7F">
      <w:pPr>
        <w:pStyle w:val="NormalHanging12a"/>
      </w:pPr>
      <w:r w:rsidRPr="00B60903">
        <w:lastRenderedPageBreak/>
        <w:t>1.</w:t>
      </w:r>
      <w:r w:rsidRPr="00B60903">
        <w:tab/>
        <w:t xml:space="preserve">bere na vědomí návrh opravného rozpočtu č. 2/2024 předložený Komisí, jehož účelem je zapsat v souladu s čl. 18 odst. 3 </w:t>
      </w:r>
      <w:proofErr w:type="gramStart"/>
      <w:r w:rsidRPr="00B60903">
        <w:t>finančního</w:t>
      </w:r>
      <w:proofErr w:type="gramEnd"/>
      <w:r w:rsidRPr="00B60903">
        <w:t xml:space="preserve"> nařízení do rozpočtu přebytek z roku 2023 ve výši 633 milionu EUR;</w:t>
      </w:r>
    </w:p>
    <w:p w14:paraId="7012A483" w14:textId="77777777" w:rsidR="001639E5" w:rsidRPr="00B60903" w:rsidRDefault="001639E5" w:rsidP="00665E7F">
      <w:pPr>
        <w:pStyle w:val="NormalHanging12a"/>
      </w:pPr>
      <w:r w:rsidRPr="00B60903">
        <w:t>2.</w:t>
      </w:r>
      <w:r w:rsidRPr="00B60903">
        <w:tab/>
        <w:t xml:space="preserve">s potěšením konstatuje, že přebytek za rok 2023 je výrazně nižší než přebytek za rok 2022, což poukazuje na lepší rozpočtové prognózy a dokonalejší řízení rozpočtu ze strany Komise; </w:t>
      </w:r>
    </w:p>
    <w:p w14:paraId="163E1C2B" w14:textId="77777777" w:rsidR="001639E5" w:rsidRPr="00B60903" w:rsidRDefault="001639E5" w:rsidP="00665E7F">
      <w:pPr>
        <w:pStyle w:val="NormalHanging12a"/>
      </w:pPr>
      <w:r w:rsidRPr="00B60903">
        <w:t>3.</w:t>
      </w:r>
      <w:r w:rsidRPr="00B60903">
        <w:tab/>
        <w:t>zdůrazňuje, že přebytek snižuje celkový příspěvek členských států na financování rozpočtu na rok 2024 v době trvale vysokých finančních potřeb a mimořádně omezeného prostoru v rámci rozpočtu Unie; podtrhuje fakt, že rozpočet musí zůstat dostatečně flexibilní, aby Unie mohla čelit nepředvídaným událostem a zabývat se novými prioritami;</w:t>
      </w:r>
    </w:p>
    <w:p w14:paraId="67CB6AB8" w14:textId="77777777" w:rsidR="001639E5" w:rsidRPr="00B60903" w:rsidRDefault="001639E5" w:rsidP="00665E7F">
      <w:pPr>
        <w:pStyle w:val="NormalHanging12a"/>
      </w:pPr>
      <w:r w:rsidRPr="00B60903">
        <w:t>4.</w:t>
      </w:r>
      <w:r w:rsidRPr="00B60903">
        <w:tab/>
        <w:t>připomíná svůj dlouhodobý postoj, že pokuty a poplatky by měly být používány jako dodatečný příjem v rámci rozpočtu Unie a neměly by vést k odpovídajícímu snížení příspěvků založených na HND;</w:t>
      </w:r>
    </w:p>
    <w:p w14:paraId="01CA1187" w14:textId="77777777" w:rsidR="001639E5" w:rsidRPr="00B60903" w:rsidRDefault="001639E5" w:rsidP="00665E7F">
      <w:pPr>
        <w:widowControl/>
        <w:spacing w:after="240"/>
        <w:ind w:left="567" w:hanging="567"/>
      </w:pPr>
      <w:r w:rsidRPr="00B60903">
        <w:t>5.</w:t>
      </w:r>
      <w:r w:rsidRPr="00B60903">
        <w:tab/>
        <w:t>bere na vědomí výpočet upraveného ročního jednorázového snížení HND v případě pěti přijímajících členských států, které činí přibližně 5,4 miliardy EUR čistého; poukazuje na to, že tyto slevy jsou spojeny s inflací, a proto se zvýšily rychleji než stropy VFR, které jsou každoročně upravovány na základě 2% deflátoru; zdůrazňuje, že tato anomálie vede k vyššímu zatížení ostatních členských států;</w:t>
      </w:r>
    </w:p>
    <w:p w14:paraId="400F251C" w14:textId="77777777" w:rsidR="001639E5" w:rsidRPr="00B60903" w:rsidRDefault="001639E5" w:rsidP="00665E7F">
      <w:pPr>
        <w:pStyle w:val="NormalHanging12a"/>
        <w:rPr>
          <w:szCs w:val="24"/>
        </w:rPr>
      </w:pPr>
      <w:r w:rsidRPr="00B60903">
        <w:t>6.</w:t>
      </w:r>
      <w:r w:rsidRPr="00B60903">
        <w:tab/>
        <w:t xml:space="preserve">zdůrazňuje, že rozpočet Unie potřebuje udržitelné příjmy; vyjadřuje proto politování nad tím, že Rada nedosáhla takového pokroku v otázce reformy systému vlastních zdrojů, </w:t>
      </w:r>
      <w:r w:rsidRPr="00B60903">
        <w:rPr>
          <w:color w:val="1E1E1F"/>
          <w:shd w:val="clear" w:color="auto" w:fill="FFFFFF"/>
        </w:rPr>
        <w:t>jaký předpokládal plán stanovený v interinstitucionální dohodě; připomíná</w:t>
      </w:r>
      <w:r w:rsidRPr="00B60903">
        <w:t xml:space="preserve">, že </w:t>
      </w:r>
      <w:r w:rsidRPr="00B60903">
        <w:rPr>
          <w:color w:val="1E1E1F"/>
          <w:shd w:val="clear" w:color="auto" w:fill="FFFFFF"/>
        </w:rPr>
        <w:t>podporuje pozměněné návrhy Komise,</w:t>
      </w:r>
      <w:r w:rsidRPr="00B60903">
        <w:t xml:space="preserve"> a naléhavě vyzývá Radu, aby tyto návrhy urychleně přijala, a bylo tak možné zvýšit vlastní zdroje, které má rozpočet Unie k dispozici;</w:t>
      </w:r>
    </w:p>
    <w:p w14:paraId="200F7E70" w14:textId="77777777" w:rsidR="001639E5" w:rsidRPr="00B60903" w:rsidRDefault="001639E5" w:rsidP="00665E7F">
      <w:pPr>
        <w:pStyle w:val="NormalHanging12a"/>
      </w:pPr>
      <w:r w:rsidRPr="00B60903">
        <w:t>7.</w:t>
      </w:r>
      <w:r w:rsidRPr="00B60903">
        <w:tab/>
        <w:t>schvaluje postoj Rady k návrhu opravného rozpočtu č. 2/2024;</w:t>
      </w:r>
    </w:p>
    <w:p w14:paraId="0D726250" w14:textId="59378352" w:rsidR="001639E5" w:rsidRPr="00B60903" w:rsidRDefault="001639E5" w:rsidP="00665E7F">
      <w:pPr>
        <w:pStyle w:val="NormalHanging12a"/>
      </w:pPr>
      <w:r w:rsidRPr="00B60903">
        <w:t>8.</w:t>
      </w:r>
      <w:r w:rsidRPr="00B60903">
        <w:tab/>
        <w:t>pověřuje svou předsedkyni, aby prohlásila opravný rozpočet č. </w:t>
      </w:r>
      <w:r w:rsidR="003D6023">
        <w:t>3</w:t>
      </w:r>
      <w:r w:rsidRPr="00B60903">
        <w:t xml:space="preserve">/2024 za přijatý s konečnou platností a aby zajistila jeho zveřejnění v </w:t>
      </w:r>
      <w:r w:rsidRPr="00B60903">
        <w:rPr>
          <w:i/>
        </w:rPr>
        <w:t>Úředním věstníku Evropské unie</w:t>
      </w:r>
      <w:r w:rsidRPr="00B60903">
        <w:t>;</w:t>
      </w:r>
    </w:p>
    <w:p w14:paraId="78323F72" w14:textId="77777777" w:rsidR="001639E5" w:rsidRPr="00B60903" w:rsidRDefault="001639E5" w:rsidP="00665E7F">
      <w:pPr>
        <w:pStyle w:val="NormalHanging12a"/>
      </w:pPr>
      <w:r w:rsidRPr="00B60903">
        <w:t>9.</w:t>
      </w:r>
      <w:r w:rsidRPr="00B60903">
        <w:tab/>
        <w:t>pověřuje svou předsedkyni, aby předala toto usnesení Radě, Komisi, ostatním dotčeným orgánům a institucím, jakož i vnitrostátním parlamentům.</w:t>
      </w:r>
    </w:p>
    <w:sectPr w:rsidR="001639E5" w:rsidRPr="00B60903" w:rsidSect="00B609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5751C" w14:textId="77777777" w:rsidR="005F5228" w:rsidRPr="00B60903" w:rsidRDefault="005F5228">
      <w:r w:rsidRPr="00B60903">
        <w:separator/>
      </w:r>
    </w:p>
  </w:endnote>
  <w:endnote w:type="continuationSeparator" w:id="0">
    <w:p w14:paraId="3A537456" w14:textId="77777777" w:rsidR="005F5228" w:rsidRPr="00B60903" w:rsidRDefault="005F5228">
      <w:r w:rsidRPr="00B609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A9E1A" w14:textId="77777777" w:rsidR="00064002" w:rsidRPr="00B609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CE684" w14:textId="77777777" w:rsidR="00064002" w:rsidRPr="00B609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7A1C4E" w14:textId="77777777" w:rsidR="00064002" w:rsidRPr="00B609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3E778" w14:textId="77777777" w:rsidR="005F5228" w:rsidRPr="00B60903" w:rsidRDefault="005F5228">
      <w:r w:rsidRPr="00B60903">
        <w:separator/>
      </w:r>
    </w:p>
  </w:footnote>
  <w:footnote w:type="continuationSeparator" w:id="0">
    <w:p w14:paraId="784B0BA5" w14:textId="77777777" w:rsidR="005F5228" w:rsidRPr="00B60903" w:rsidRDefault="005F5228">
      <w:r w:rsidRPr="00B60903">
        <w:continuationSeparator/>
      </w:r>
    </w:p>
  </w:footnote>
  <w:footnote w:id="1">
    <w:p w14:paraId="2EBF0A6E" w14:textId="4971668D" w:rsidR="001639E5" w:rsidRPr="00D439E7" w:rsidRDefault="001639E5" w:rsidP="00D439E7">
      <w:pPr>
        <w:pStyle w:val="FootnoteText"/>
        <w:ind w:left="567" w:hanging="567"/>
        <w:rPr>
          <w:sz w:val="24"/>
          <w:szCs w:val="24"/>
          <w:lang w:val="cs-CZ"/>
        </w:rPr>
      </w:pPr>
      <w:r w:rsidRPr="00D439E7">
        <w:rPr>
          <w:rStyle w:val="FootnoteReference"/>
          <w:sz w:val="24"/>
          <w:szCs w:val="24"/>
          <w:lang w:val="cs-CZ"/>
        </w:rPr>
        <w:footnoteRef/>
      </w:r>
      <w:r w:rsidR="00B60903" w:rsidRPr="00D439E7">
        <w:rPr>
          <w:sz w:val="24"/>
          <w:szCs w:val="24"/>
          <w:lang w:val="cs-CZ"/>
        </w:rPr>
        <w:t xml:space="preserve"> </w:t>
      </w:r>
      <w:r w:rsidR="00B60903" w:rsidRPr="00D439E7">
        <w:rPr>
          <w:sz w:val="24"/>
          <w:szCs w:val="24"/>
          <w:lang w:val="cs-CZ"/>
        </w:rPr>
        <w:tab/>
      </w:r>
      <w:proofErr w:type="spellStart"/>
      <w:r w:rsidRPr="00D439E7">
        <w:rPr>
          <w:sz w:val="24"/>
          <w:szCs w:val="24"/>
          <w:lang w:val="cs-CZ"/>
        </w:rPr>
        <w:t>Úř</w:t>
      </w:r>
      <w:proofErr w:type="spellEnd"/>
      <w:r w:rsidRPr="00D439E7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D439E7">
        <w:rPr>
          <w:sz w:val="24"/>
          <w:szCs w:val="24"/>
          <w:lang w:val="cs-CZ"/>
        </w:rPr>
        <w:t>věst</w:t>
      </w:r>
      <w:proofErr w:type="spellEnd"/>
      <w:proofErr w:type="gramEnd"/>
      <w:r w:rsidRPr="00D439E7">
        <w:rPr>
          <w:sz w:val="24"/>
          <w:szCs w:val="24"/>
          <w:lang w:val="cs-CZ"/>
        </w:rPr>
        <w:t xml:space="preserve">. L 193, </w:t>
      </w:r>
      <w:proofErr w:type="gramStart"/>
      <w:r w:rsidRPr="00D439E7">
        <w:rPr>
          <w:sz w:val="24"/>
          <w:szCs w:val="24"/>
          <w:lang w:val="cs-CZ"/>
        </w:rPr>
        <w:t>30.7.2018</w:t>
      </w:r>
      <w:proofErr w:type="gramEnd"/>
      <w:r w:rsidRPr="00D439E7">
        <w:rPr>
          <w:sz w:val="24"/>
          <w:szCs w:val="24"/>
          <w:lang w:val="cs-CZ"/>
        </w:rPr>
        <w:t xml:space="preserve">, s. 1, ELI: </w:t>
      </w:r>
      <w:hyperlink r:id="rId1" w:history="1">
        <w:r w:rsidRPr="00D439E7">
          <w:rPr>
            <w:rStyle w:val="Hyperlink"/>
            <w:sz w:val="24"/>
            <w:szCs w:val="24"/>
            <w:lang w:val="cs-CZ"/>
          </w:rPr>
          <w:t>http://data.europa.eu/eli/reg/2018/1046/oj</w:t>
        </w:r>
      </w:hyperlink>
      <w:r w:rsidRPr="00D439E7">
        <w:rPr>
          <w:sz w:val="24"/>
          <w:szCs w:val="24"/>
          <w:lang w:val="cs-CZ"/>
        </w:rPr>
        <w:t>.</w:t>
      </w:r>
    </w:p>
  </w:footnote>
  <w:footnote w:id="2">
    <w:p w14:paraId="71FFE836" w14:textId="0BD7EC85" w:rsidR="00D439E7" w:rsidRPr="00B57842" w:rsidRDefault="00D439E7" w:rsidP="00B57842">
      <w:pPr>
        <w:pStyle w:val="FootnoteText"/>
        <w:ind w:left="567" w:hanging="567"/>
        <w:rPr>
          <w:lang w:val="cs-CZ"/>
        </w:rPr>
      </w:pPr>
      <w:r w:rsidRPr="00B57842">
        <w:rPr>
          <w:rStyle w:val="FootnoteReference"/>
          <w:sz w:val="24"/>
          <w:szCs w:val="24"/>
        </w:rPr>
        <w:footnoteRef/>
      </w:r>
      <w:r w:rsidRPr="00B57842">
        <w:rPr>
          <w:sz w:val="24"/>
          <w:szCs w:val="24"/>
          <w:lang w:val="fi-FI"/>
        </w:rPr>
        <w:t xml:space="preserve"> </w:t>
      </w:r>
      <w:r w:rsidRPr="00B57842">
        <w:rPr>
          <w:sz w:val="24"/>
          <w:szCs w:val="24"/>
          <w:lang w:val="cs-CZ"/>
        </w:rPr>
        <w:tab/>
      </w:r>
      <w:proofErr w:type="spellStart"/>
      <w:r w:rsidRPr="00D439E7">
        <w:rPr>
          <w:sz w:val="24"/>
          <w:szCs w:val="24"/>
          <w:lang w:val="cs-CZ"/>
        </w:rPr>
        <w:t>Úř</w:t>
      </w:r>
      <w:proofErr w:type="spellEnd"/>
      <w:r w:rsidRPr="00D439E7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D439E7">
        <w:rPr>
          <w:sz w:val="24"/>
          <w:szCs w:val="24"/>
          <w:lang w:val="cs-CZ"/>
        </w:rPr>
        <w:t>věst</w:t>
      </w:r>
      <w:proofErr w:type="spellEnd"/>
      <w:proofErr w:type="gramEnd"/>
      <w:r w:rsidRPr="00D439E7">
        <w:rPr>
          <w:sz w:val="24"/>
          <w:szCs w:val="24"/>
          <w:lang w:val="cs-CZ"/>
        </w:rPr>
        <w:t xml:space="preserve">. </w:t>
      </w:r>
      <w:r w:rsidRPr="00D439E7">
        <w:rPr>
          <w:sz w:val="24"/>
          <w:szCs w:val="24"/>
          <w:lang w:val="fi-FI"/>
        </w:rPr>
        <w:t xml:space="preserve">L, 2024/2509, 26.9.2024, ELI: </w:t>
      </w:r>
      <w:hyperlink r:id="rId2" w:history="1">
        <w:r w:rsidRPr="00B57842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D439E7">
        <w:rPr>
          <w:sz w:val="24"/>
          <w:szCs w:val="24"/>
          <w:lang w:val="fi-FI"/>
        </w:rPr>
        <w:t>.</w:t>
      </w:r>
    </w:p>
  </w:footnote>
  <w:footnote w:id="3">
    <w:p w14:paraId="017C600C" w14:textId="0FA7B0B8" w:rsidR="001639E5" w:rsidRPr="00B60903" w:rsidRDefault="001639E5" w:rsidP="00B60903">
      <w:pPr>
        <w:pStyle w:val="FootnoteText"/>
        <w:ind w:left="567" w:hanging="567"/>
        <w:rPr>
          <w:sz w:val="24"/>
          <w:lang w:val="cs-CZ"/>
        </w:rPr>
      </w:pPr>
      <w:r w:rsidRPr="00B60903">
        <w:rPr>
          <w:rStyle w:val="FootnoteReference"/>
          <w:sz w:val="24"/>
          <w:lang w:val="cs-CZ"/>
        </w:rPr>
        <w:footnoteRef/>
      </w:r>
      <w:r w:rsidR="00B60903" w:rsidRPr="00B60903">
        <w:rPr>
          <w:sz w:val="24"/>
          <w:lang w:val="cs-CZ"/>
        </w:rPr>
        <w:t xml:space="preserve"> </w:t>
      </w:r>
      <w:r w:rsidR="00B60903" w:rsidRPr="00B60903">
        <w:rPr>
          <w:sz w:val="24"/>
          <w:lang w:val="cs-CZ"/>
        </w:rPr>
        <w:tab/>
      </w:r>
      <w:proofErr w:type="spellStart"/>
      <w:r w:rsidRPr="00B60903">
        <w:rPr>
          <w:sz w:val="24"/>
          <w:lang w:val="cs-CZ"/>
        </w:rPr>
        <w:t>Úř</w:t>
      </w:r>
      <w:proofErr w:type="spellEnd"/>
      <w:r w:rsidRPr="00B60903">
        <w:rPr>
          <w:sz w:val="24"/>
          <w:lang w:val="cs-CZ"/>
        </w:rPr>
        <w:t xml:space="preserve">. </w:t>
      </w:r>
      <w:proofErr w:type="spellStart"/>
      <w:proofErr w:type="gramStart"/>
      <w:r w:rsidRPr="00B60903">
        <w:rPr>
          <w:sz w:val="24"/>
          <w:lang w:val="cs-CZ"/>
        </w:rPr>
        <w:t>věst</w:t>
      </w:r>
      <w:proofErr w:type="spellEnd"/>
      <w:proofErr w:type="gramEnd"/>
      <w:r w:rsidRPr="00B60903">
        <w:rPr>
          <w:sz w:val="24"/>
          <w:lang w:val="cs-CZ"/>
        </w:rPr>
        <w:t>. L</w:t>
      </w:r>
      <w:r w:rsidR="008A4F8F">
        <w:rPr>
          <w:sz w:val="24"/>
          <w:lang w:val="cs-CZ"/>
        </w:rPr>
        <w:t>,</w:t>
      </w:r>
      <w:bookmarkStart w:id="8" w:name="_GoBack"/>
      <w:bookmarkEnd w:id="8"/>
      <w:r w:rsidRPr="00B60903">
        <w:rPr>
          <w:sz w:val="24"/>
          <w:lang w:val="cs-CZ"/>
        </w:rPr>
        <w:t xml:space="preserve"> 2024/207, </w:t>
      </w:r>
      <w:proofErr w:type="gramStart"/>
      <w:r w:rsidRPr="00B60903">
        <w:rPr>
          <w:sz w:val="24"/>
          <w:lang w:val="cs-CZ"/>
        </w:rPr>
        <w:t>22.2.202</w:t>
      </w:r>
      <w:r w:rsidR="008A4F8F">
        <w:rPr>
          <w:sz w:val="24"/>
          <w:lang w:val="cs-CZ"/>
        </w:rPr>
        <w:t>4</w:t>
      </w:r>
      <w:proofErr w:type="gramEnd"/>
      <w:r w:rsidRPr="00B60903">
        <w:rPr>
          <w:sz w:val="24"/>
          <w:lang w:val="cs-CZ"/>
        </w:rPr>
        <w:t xml:space="preserve">, ELI: </w:t>
      </w:r>
      <w:hyperlink r:id="rId3" w:history="1">
        <w:r w:rsidRPr="00B60903">
          <w:rPr>
            <w:rStyle w:val="Hyperlink"/>
            <w:sz w:val="24"/>
            <w:lang w:val="cs-CZ"/>
          </w:rPr>
          <w:t>http://data.europa.eu/eli/budget/2024/207/oj</w:t>
        </w:r>
      </w:hyperlink>
      <w:r w:rsidRPr="00B60903">
        <w:rPr>
          <w:sz w:val="24"/>
          <w:lang w:val="cs-CZ"/>
        </w:rPr>
        <w:t>.</w:t>
      </w:r>
    </w:p>
  </w:footnote>
  <w:footnote w:id="4">
    <w:p w14:paraId="1B7D6CBA" w14:textId="1E77F9EE" w:rsidR="001639E5" w:rsidRPr="00B60903" w:rsidRDefault="001639E5" w:rsidP="00B60903">
      <w:pPr>
        <w:pStyle w:val="FootnoteText"/>
        <w:ind w:left="567" w:hanging="567"/>
        <w:rPr>
          <w:sz w:val="24"/>
          <w:lang w:val="cs-CZ"/>
        </w:rPr>
      </w:pPr>
      <w:r w:rsidRPr="00B60903">
        <w:rPr>
          <w:rStyle w:val="FootnoteReference"/>
          <w:sz w:val="24"/>
          <w:lang w:val="cs-CZ"/>
        </w:rPr>
        <w:footnoteRef/>
      </w:r>
      <w:r w:rsidR="00B60903" w:rsidRPr="00B60903">
        <w:rPr>
          <w:sz w:val="24"/>
          <w:lang w:val="cs-CZ"/>
        </w:rPr>
        <w:t xml:space="preserve"> </w:t>
      </w:r>
      <w:r w:rsidR="00B60903" w:rsidRPr="00B60903">
        <w:rPr>
          <w:sz w:val="24"/>
          <w:lang w:val="cs-CZ"/>
        </w:rPr>
        <w:tab/>
      </w:r>
      <w:proofErr w:type="spellStart"/>
      <w:r w:rsidRPr="00B60903">
        <w:rPr>
          <w:sz w:val="24"/>
          <w:lang w:val="cs-CZ"/>
        </w:rPr>
        <w:t>Úř</w:t>
      </w:r>
      <w:proofErr w:type="spellEnd"/>
      <w:r w:rsidRPr="00B60903">
        <w:rPr>
          <w:sz w:val="24"/>
          <w:lang w:val="cs-CZ"/>
        </w:rPr>
        <w:t xml:space="preserve">. </w:t>
      </w:r>
      <w:proofErr w:type="spellStart"/>
      <w:proofErr w:type="gramStart"/>
      <w:r w:rsidRPr="00B60903">
        <w:rPr>
          <w:sz w:val="24"/>
          <w:lang w:val="cs-CZ"/>
        </w:rPr>
        <w:t>věst</w:t>
      </w:r>
      <w:proofErr w:type="spellEnd"/>
      <w:proofErr w:type="gramEnd"/>
      <w:r w:rsidRPr="00B60903">
        <w:rPr>
          <w:sz w:val="24"/>
          <w:lang w:val="cs-CZ"/>
        </w:rPr>
        <w:t xml:space="preserve">. L 433 I, </w:t>
      </w:r>
      <w:proofErr w:type="gramStart"/>
      <w:r w:rsidRPr="00B60903">
        <w:rPr>
          <w:sz w:val="24"/>
          <w:lang w:val="cs-CZ"/>
        </w:rPr>
        <w:t>22.12.2020</w:t>
      </w:r>
      <w:proofErr w:type="gramEnd"/>
      <w:r w:rsidRPr="00B60903">
        <w:rPr>
          <w:sz w:val="24"/>
          <w:lang w:val="cs-CZ"/>
        </w:rPr>
        <w:t xml:space="preserve">, s. 11, ELI: </w:t>
      </w:r>
      <w:hyperlink r:id="rId4" w:history="1">
        <w:r w:rsidRPr="00B60903">
          <w:rPr>
            <w:rStyle w:val="Hyperlink"/>
            <w:sz w:val="24"/>
            <w:lang w:val="cs-CZ"/>
          </w:rPr>
          <w:t>http://data.europa.eu/eli/reg/2020/2093/oj</w:t>
        </w:r>
      </w:hyperlink>
      <w:r w:rsidRPr="00B60903">
        <w:rPr>
          <w:sz w:val="24"/>
          <w:lang w:val="cs-CZ"/>
        </w:rPr>
        <w:t>.</w:t>
      </w:r>
    </w:p>
  </w:footnote>
  <w:footnote w:id="5">
    <w:p w14:paraId="35C0D02C" w14:textId="7BBBD69B" w:rsidR="001639E5" w:rsidRPr="00B60903" w:rsidRDefault="001639E5" w:rsidP="00B60903">
      <w:pPr>
        <w:pStyle w:val="FootnoteText"/>
        <w:ind w:left="567" w:hanging="567"/>
        <w:rPr>
          <w:sz w:val="24"/>
          <w:lang w:val="cs-CZ"/>
        </w:rPr>
      </w:pPr>
      <w:r w:rsidRPr="00B60903">
        <w:rPr>
          <w:rStyle w:val="FootnoteReference"/>
          <w:sz w:val="24"/>
          <w:lang w:val="cs-CZ"/>
        </w:rPr>
        <w:footnoteRef/>
      </w:r>
      <w:r w:rsidR="00B60903" w:rsidRPr="00B60903">
        <w:rPr>
          <w:sz w:val="24"/>
          <w:lang w:val="cs-CZ"/>
        </w:rPr>
        <w:t xml:space="preserve"> </w:t>
      </w:r>
      <w:r w:rsidR="00B60903" w:rsidRPr="00B60903">
        <w:rPr>
          <w:sz w:val="24"/>
          <w:lang w:val="cs-CZ"/>
        </w:rPr>
        <w:tab/>
      </w:r>
      <w:proofErr w:type="spellStart"/>
      <w:r w:rsidRPr="00B60903">
        <w:rPr>
          <w:sz w:val="24"/>
          <w:lang w:val="cs-CZ"/>
        </w:rPr>
        <w:t>Úř</w:t>
      </w:r>
      <w:proofErr w:type="spellEnd"/>
      <w:r w:rsidRPr="00B60903">
        <w:rPr>
          <w:sz w:val="24"/>
          <w:lang w:val="cs-CZ"/>
        </w:rPr>
        <w:t xml:space="preserve">. </w:t>
      </w:r>
      <w:proofErr w:type="spellStart"/>
      <w:proofErr w:type="gramStart"/>
      <w:r w:rsidRPr="00B60903">
        <w:rPr>
          <w:sz w:val="24"/>
          <w:lang w:val="cs-CZ"/>
        </w:rPr>
        <w:t>věst</w:t>
      </w:r>
      <w:proofErr w:type="spellEnd"/>
      <w:proofErr w:type="gramEnd"/>
      <w:r w:rsidRPr="00B60903">
        <w:rPr>
          <w:sz w:val="24"/>
          <w:lang w:val="cs-CZ"/>
        </w:rPr>
        <w:t xml:space="preserve">. L 433 I, </w:t>
      </w:r>
      <w:proofErr w:type="gramStart"/>
      <w:r w:rsidRPr="00B60903">
        <w:rPr>
          <w:sz w:val="24"/>
          <w:lang w:val="cs-CZ"/>
        </w:rPr>
        <w:t>22.12.2020</w:t>
      </w:r>
      <w:proofErr w:type="gramEnd"/>
      <w:r w:rsidRPr="00B60903">
        <w:rPr>
          <w:sz w:val="24"/>
          <w:lang w:val="cs-CZ"/>
        </w:rPr>
        <w:t xml:space="preserve">, s. 28, ELI: </w:t>
      </w:r>
      <w:hyperlink r:id="rId5" w:history="1">
        <w:r w:rsidRPr="00B60903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B60903">
        <w:rPr>
          <w:sz w:val="24"/>
          <w:lang w:val="cs-CZ"/>
        </w:rPr>
        <w:t>.</w:t>
      </w:r>
    </w:p>
  </w:footnote>
  <w:footnote w:id="6">
    <w:p w14:paraId="40FEFA98" w14:textId="77777777" w:rsidR="001639E5" w:rsidRPr="00B60903" w:rsidRDefault="001639E5" w:rsidP="00B60903">
      <w:pPr>
        <w:pStyle w:val="FootnoteText"/>
        <w:ind w:left="567" w:hanging="567"/>
        <w:rPr>
          <w:sz w:val="24"/>
          <w:lang w:val="cs-CZ"/>
        </w:rPr>
      </w:pPr>
      <w:r w:rsidRPr="00B60903">
        <w:rPr>
          <w:rStyle w:val="FootnoteReference"/>
          <w:sz w:val="24"/>
          <w:lang w:val="cs-CZ"/>
        </w:rPr>
        <w:footnoteRef/>
      </w:r>
      <w:r w:rsidR="00B60903" w:rsidRPr="00B60903">
        <w:rPr>
          <w:sz w:val="24"/>
          <w:lang w:val="cs-CZ"/>
        </w:rPr>
        <w:t xml:space="preserve"> </w:t>
      </w:r>
      <w:r w:rsidR="00B60903" w:rsidRPr="00B60903">
        <w:rPr>
          <w:sz w:val="24"/>
          <w:lang w:val="cs-CZ"/>
        </w:rPr>
        <w:tab/>
      </w:r>
      <w:proofErr w:type="spellStart"/>
      <w:r w:rsidRPr="00B60903">
        <w:rPr>
          <w:sz w:val="24"/>
          <w:lang w:val="cs-CZ"/>
        </w:rPr>
        <w:t>Úř</w:t>
      </w:r>
      <w:proofErr w:type="spellEnd"/>
      <w:r w:rsidRPr="00B60903">
        <w:rPr>
          <w:sz w:val="24"/>
          <w:lang w:val="cs-CZ"/>
        </w:rPr>
        <w:t xml:space="preserve">. </w:t>
      </w:r>
      <w:proofErr w:type="spellStart"/>
      <w:proofErr w:type="gramStart"/>
      <w:r w:rsidRPr="00B60903">
        <w:rPr>
          <w:sz w:val="24"/>
          <w:lang w:val="cs-CZ"/>
        </w:rPr>
        <w:t>věst</w:t>
      </w:r>
      <w:proofErr w:type="spellEnd"/>
      <w:proofErr w:type="gramEnd"/>
      <w:r w:rsidRPr="00B60903">
        <w:rPr>
          <w:sz w:val="24"/>
          <w:lang w:val="cs-CZ"/>
        </w:rPr>
        <w:t xml:space="preserve">. L 424, </w:t>
      </w:r>
      <w:proofErr w:type="gramStart"/>
      <w:r w:rsidRPr="00B60903">
        <w:rPr>
          <w:sz w:val="24"/>
          <w:lang w:val="cs-CZ"/>
        </w:rPr>
        <w:t>15.12.2020</w:t>
      </w:r>
      <w:proofErr w:type="gramEnd"/>
      <w:r w:rsidRPr="00B60903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91F18" w14:textId="77777777" w:rsidR="00064002" w:rsidRPr="00B609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6A44" w14:textId="77777777" w:rsidR="00064002" w:rsidRPr="00B609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0B1F9" w14:textId="77777777" w:rsidR="00064002" w:rsidRPr="00B609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CS"/>
    <w:docVar w:name="dvnumam" w:val="0"/>
    <w:docVar w:name="dvpe" w:val="763.033"/>
    <w:docVar w:name="dvrapporteur" w:val="Zpravodaj: "/>
    <w:docVar w:name="dvtitre" w:val="Usnesení Evropského parlamentu ze dne 22. října 2024 o postoji Rady k návrhu opravného rozpočtu č. 2/2024 Evropské unie na rozpočtový rok 2024 – zapsání přebytku z rozpočtového roku 2023(12081/2024 – C10-0107/2024 – 2024/0089(BUD))"/>
  </w:docVars>
  <w:rsids>
    <w:rsidRoot w:val="005F5228"/>
    <w:rsid w:val="00002272"/>
    <w:rsid w:val="00032479"/>
    <w:rsid w:val="00064002"/>
    <w:rsid w:val="000677B9"/>
    <w:rsid w:val="000831BA"/>
    <w:rsid w:val="000A42CC"/>
    <w:rsid w:val="000E7DD9"/>
    <w:rsid w:val="0010095E"/>
    <w:rsid w:val="00125B37"/>
    <w:rsid w:val="001639E5"/>
    <w:rsid w:val="00187494"/>
    <w:rsid w:val="001F32AE"/>
    <w:rsid w:val="002767FF"/>
    <w:rsid w:val="002B18FE"/>
    <w:rsid w:val="002B5493"/>
    <w:rsid w:val="00343214"/>
    <w:rsid w:val="00361C00"/>
    <w:rsid w:val="00395FA1"/>
    <w:rsid w:val="003D602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DA0"/>
    <w:rsid w:val="005C2568"/>
    <w:rsid w:val="005F1B17"/>
    <w:rsid w:val="005F5228"/>
    <w:rsid w:val="006037C0"/>
    <w:rsid w:val="006512C9"/>
    <w:rsid w:val="006631B6"/>
    <w:rsid w:val="00665E7F"/>
    <w:rsid w:val="00680577"/>
    <w:rsid w:val="006F74FA"/>
    <w:rsid w:val="00731ADD"/>
    <w:rsid w:val="00734777"/>
    <w:rsid w:val="00747932"/>
    <w:rsid w:val="00751A4A"/>
    <w:rsid w:val="00752F81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F8F"/>
    <w:rsid w:val="008C2AC6"/>
    <w:rsid w:val="00930C23"/>
    <w:rsid w:val="0093193B"/>
    <w:rsid w:val="009509D8"/>
    <w:rsid w:val="00950B64"/>
    <w:rsid w:val="00981893"/>
    <w:rsid w:val="009D17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842"/>
    <w:rsid w:val="00B60903"/>
    <w:rsid w:val="00B8355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EFC"/>
    <w:rsid w:val="00D439E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D1619"/>
  <w15:chartTrackingRefBased/>
  <w15:docId w15:val="{0FF17B18-FD82-47D2-B279-F9643737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39E5"/>
    <w:pPr>
      <w:spacing w:before="480" w:after="240"/>
    </w:pPr>
  </w:style>
  <w:style w:type="paragraph" w:customStyle="1" w:styleId="NormalHanging12a">
    <w:name w:val="NormalHanging12a"/>
    <w:basedOn w:val="Normal"/>
    <w:rsid w:val="001639E5"/>
    <w:pPr>
      <w:spacing w:after="240"/>
      <w:ind w:left="567" w:hanging="567"/>
    </w:pPr>
  </w:style>
  <w:style w:type="character" w:styleId="Hyperlink">
    <w:name w:val="Hyperlink"/>
    <w:basedOn w:val="DefaultParagraphFont"/>
    <w:rsid w:val="001639E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43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39E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D1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17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17F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D1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17F2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5E08D-C4EF-4936-A89D-7D35024B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2024-11-20T14:49:00Z</dcterms:created>
  <dcterms:modified xsi:type="dcterms:W3CDTF">2024-11-20T14:49:00Z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P10_TA(2024)0023_</vt:lpwstr>
  </property>
  <property fmtid="{D5CDD505-2E9C-101B-9397-08002B2CF9AE}" pid="4" name="&lt;Type&gt;">
    <vt:lpwstr>RR</vt:lpwstr>
  </property>
</Properties>
</file>