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6E7" w:rsidTr="0010095E">
        <w:trPr>
          <w:trHeight w:hRule="exact" w:val="1418"/>
        </w:trPr>
        <w:tc>
          <w:tcPr>
            <w:tcW w:w="6804" w:type="dxa"/>
            <w:shd w:val="clear" w:color="auto" w:fill="auto"/>
            <w:vAlign w:val="center"/>
          </w:tcPr>
          <w:p w:rsidR="00751A4A" w:rsidRPr="000B76E7" w:rsidRDefault="00BD5DBB" w:rsidP="0010095E">
            <w:pPr>
              <w:pStyle w:val="EPName"/>
            </w:pPr>
            <w:bookmarkStart w:id="0" w:name="_GoBack"/>
            <w:bookmarkEnd w:id="0"/>
            <w:r w:rsidRPr="000B76E7">
              <w:t>Ευρωπαϊκό Κοινοβούλιο</w:t>
            </w:r>
          </w:p>
          <w:p w:rsidR="00751A4A" w:rsidRPr="000B76E7" w:rsidRDefault="005F1B17" w:rsidP="005F1B17">
            <w:pPr>
              <w:pStyle w:val="EPTerm"/>
              <w:rPr>
                <w:rStyle w:val="HideTWBExt"/>
                <w:noProof w:val="0"/>
                <w:vanish w:val="0"/>
                <w:color w:val="auto"/>
              </w:rPr>
            </w:pPr>
            <w:r w:rsidRPr="000B76E7">
              <w:t>2024</w:t>
            </w:r>
            <w:r w:rsidR="00817416" w:rsidRPr="000B76E7">
              <w:t>-202</w:t>
            </w:r>
            <w:r w:rsidRPr="000B76E7">
              <w:t>9</w:t>
            </w:r>
          </w:p>
        </w:tc>
        <w:tc>
          <w:tcPr>
            <w:tcW w:w="2268" w:type="dxa"/>
            <w:shd w:val="clear" w:color="auto" w:fill="auto"/>
          </w:tcPr>
          <w:p w:rsidR="00751A4A" w:rsidRPr="000B76E7" w:rsidRDefault="00187494" w:rsidP="0010095E">
            <w:pPr>
              <w:pStyle w:val="EPLogo"/>
            </w:pPr>
            <w:r w:rsidRPr="000B76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76E7" w:rsidRDefault="00D058B8" w:rsidP="004C5D52">
      <w:pPr>
        <w:pStyle w:val="LineTop"/>
      </w:pPr>
    </w:p>
    <w:p w:rsidR="00680577" w:rsidRPr="000B76E7" w:rsidRDefault="00BD5DBB" w:rsidP="00680577">
      <w:pPr>
        <w:pStyle w:val="EPBodyTA1"/>
      </w:pPr>
      <w:r w:rsidRPr="000B76E7">
        <w:t>ΚΕΙΜΕΝΑ ΠΟΥ ΕΓΚΡΙΘΗΚΑΝ</w:t>
      </w:r>
    </w:p>
    <w:p w:rsidR="00D058B8" w:rsidRPr="000B76E7" w:rsidRDefault="00D058B8" w:rsidP="00D058B8">
      <w:pPr>
        <w:pStyle w:val="LineBottom"/>
      </w:pPr>
    </w:p>
    <w:p w:rsidR="00BD5DBB" w:rsidRPr="000B76E7" w:rsidRDefault="00BD5DBB" w:rsidP="00BD5DBB">
      <w:pPr>
        <w:pStyle w:val="ATHeading1"/>
      </w:pPr>
      <w:bookmarkStart w:id="1" w:name="TANumber"/>
      <w:r w:rsidRPr="000B76E7">
        <w:t>P10_TA(2024)00</w:t>
      </w:r>
      <w:r w:rsidR="000B76E7" w:rsidRPr="000B76E7">
        <w:t>23</w:t>
      </w:r>
      <w:bookmarkEnd w:id="1"/>
    </w:p>
    <w:p w:rsidR="00BD5DBB" w:rsidRPr="000B76E7" w:rsidRDefault="002D413D" w:rsidP="00BD5DBB">
      <w:pPr>
        <w:pStyle w:val="ATHeading2"/>
      </w:pPr>
      <w:bookmarkStart w:id="2" w:name="title"/>
      <w:r w:rsidRPr="000B76E7">
        <w:t>Σχέδιο διορθωτικού προϋπολογισμού αριθ. 2/2024: εγγραφή του πλεονάσματος του οικονομικού έτους 2023</w:t>
      </w:r>
      <w:bookmarkEnd w:id="2"/>
    </w:p>
    <w:p w:rsidR="00BD5DBB" w:rsidRPr="000B76E7" w:rsidRDefault="00BD5DBB" w:rsidP="00BD5DBB">
      <w:pPr>
        <w:rPr>
          <w:i/>
          <w:vanish/>
        </w:rPr>
      </w:pPr>
      <w:r w:rsidRPr="000B76E7">
        <w:rPr>
          <w:i/>
        </w:rPr>
        <w:fldChar w:fldCharType="begin"/>
      </w:r>
      <w:r w:rsidRPr="000B76E7">
        <w:rPr>
          <w:i/>
        </w:rPr>
        <w:instrText xml:space="preserve"> TC"(</w:instrText>
      </w:r>
      <w:bookmarkStart w:id="3" w:name="DocNumber"/>
      <w:r w:rsidRPr="000B76E7">
        <w:rPr>
          <w:i/>
        </w:rPr>
        <w:instrText>A10-0005/2024</w:instrText>
      </w:r>
      <w:bookmarkEnd w:id="3"/>
      <w:r w:rsidRPr="000B76E7">
        <w:rPr>
          <w:i/>
        </w:rPr>
        <w:instrText xml:space="preserve"> - Εισηγητής: Siegfried Mureşan)"\l3 \n&gt; \* MERGEFORMAT </w:instrText>
      </w:r>
      <w:r w:rsidRPr="000B76E7">
        <w:rPr>
          <w:i/>
        </w:rPr>
        <w:fldChar w:fldCharType="end"/>
      </w:r>
    </w:p>
    <w:p w:rsidR="00BD5DBB" w:rsidRPr="000B76E7" w:rsidRDefault="00BD5DBB" w:rsidP="00BD5DBB">
      <w:pPr>
        <w:rPr>
          <w:vanish/>
        </w:rPr>
      </w:pPr>
      <w:bookmarkStart w:id="4" w:name="Commission"/>
      <w:r w:rsidRPr="000B76E7">
        <w:rPr>
          <w:vanish/>
        </w:rPr>
        <w:t>Επιτροπή Προϋπολογισμών</w:t>
      </w:r>
      <w:bookmarkEnd w:id="4"/>
    </w:p>
    <w:p w:rsidR="00BD5DBB" w:rsidRPr="000B76E7" w:rsidRDefault="00BD5DBB" w:rsidP="00BD5DBB">
      <w:pPr>
        <w:rPr>
          <w:vanish/>
        </w:rPr>
      </w:pPr>
      <w:bookmarkStart w:id="5" w:name="PE"/>
      <w:r w:rsidRPr="000B76E7">
        <w:rPr>
          <w:vanish/>
        </w:rPr>
        <w:t>PE763.033</w:t>
      </w:r>
      <w:bookmarkEnd w:id="5"/>
    </w:p>
    <w:p w:rsidR="00BD5DBB" w:rsidRPr="000B76E7" w:rsidRDefault="002D413D" w:rsidP="00BD5DBB">
      <w:pPr>
        <w:pStyle w:val="ATHeading3"/>
      </w:pPr>
      <w:bookmarkStart w:id="6" w:name="Sujet"/>
      <w:r w:rsidRPr="000B76E7">
        <w:t>Ψ</w:t>
      </w:r>
      <w:r w:rsidR="00BD5DBB" w:rsidRPr="000B76E7">
        <w:t xml:space="preserve">ήφισμα του Ευρωπαϊκού Κοινοβουλίου </w:t>
      </w:r>
      <w:r w:rsidR="007E7131" w:rsidRPr="000B76E7">
        <w:t xml:space="preserve">της 22ας Οκτωβρίου 2024 </w:t>
      </w:r>
      <w:r w:rsidR="00BD5DBB" w:rsidRPr="000B76E7">
        <w:t>σχετικά με τη θέση του Συμβουλίου επί του σχεδίου διορθωτικού προϋπολογισμού αριθ. 2/2024 της Ευρωπαϊκής Ένωσης για το οικονομικό έτος 2024 – εγγραφή του πλεονάσματος του οικονομικού έτους 2023</w:t>
      </w:r>
      <w:bookmarkEnd w:id="6"/>
      <w:r w:rsidR="00BD5DBB" w:rsidRPr="000B76E7">
        <w:t xml:space="preserve"> </w:t>
      </w:r>
      <w:bookmarkStart w:id="7" w:name="References"/>
      <w:r w:rsidR="00BD5DBB" w:rsidRPr="000B76E7">
        <w:t>(12081/2024 – C10-0107/2024 – 2024/0089(BUD))</w:t>
      </w:r>
      <w:bookmarkEnd w:id="7"/>
    </w:p>
    <w:p w:rsidR="003D35A7" w:rsidRPr="000B76E7" w:rsidRDefault="003D35A7" w:rsidP="003D35A7">
      <w:pPr>
        <w:pStyle w:val="EPComma"/>
      </w:pPr>
      <w:bookmarkStart w:id="8" w:name="TextBodyBegin"/>
      <w:bookmarkEnd w:id="8"/>
      <w:r w:rsidRPr="000B76E7">
        <w:rPr>
          <w:i/>
        </w:rPr>
        <w:t>Το Ευρωπαϊκό Κοινοβούλιο</w:t>
      </w:r>
      <w:r w:rsidRPr="000B76E7">
        <w:t>,</w:t>
      </w:r>
    </w:p>
    <w:p w:rsidR="003D35A7" w:rsidRPr="000B76E7" w:rsidRDefault="003D35A7" w:rsidP="002D413D">
      <w:pPr>
        <w:pStyle w:val="NormalHanging12a"/>
        <w:widowControl/>
      </w:pPr>
      <w:r w:rsidRPr="000B76E7">
        <w:t>–</w:t>
      </w:r>
      <w:r w:rsidRPr="000B76E7">
        <w:tab/>
        <w:t>έχοντας υπόψη το άρθρο 314 της Συνθήκης για τη λειτουργία της Ευρωπαϊκής Ένωσης,</w:t>
      </w:r>
    </w:p>
    <w:p w:rsidR="003D35A7" w:rsidRPr="000B76E7" w:rsidRDefault="003D35A7" w:rsidP="002D413D">
      <w:pPr>
        <w:pStyle w:val="NormalHanging12a"/>
        <w:widowControl/>
      </w:pPr>
      <w:r w:rsidRPr="000B76E7">
        <w:t>–</w:t>
      </w:r>
      <w:r w:rsidRPr="000B76E7">
        <w:tab/>
        <w:t>έχοντας υπόψη το άρθρο 106α της Συνθήκης περί ιδρύσεως της Ευρωπαϊκής Κοινότητας Ατομικής Ενεργείας,</w:t>
      </w:r>
    </w:p>
    <w:p w:rsidR="003D35A7" w:rsidRPr="000B76E7" w:rsidRDefault="003D35A7" w:rsidP="002D413D">
      <w:pPr>
        <w:pStyle w:val="NormalHanging12a"/>
        <w:widowControl/>
      </w:pPr>
      <w:r w:rsidRPr="000B76E7">
        <w:t>–</w:t>
      </w:r>
      <w:r w:rsidRPr="000B76E7">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0B76E7">
        <w:rPr>
          <w:rStyle w:val="FootnoteReference"/>
        </w:rPr>
        <w:footnoteReference w:id="1"/>
      </w:r>
      <w:r w:rsidRPr="000B76E7">
        <w:t>, και ιδίως το άρθρο 44,</w:t>
      </w:r>
    </w:p>
    <w:p w:rsidR="002D413D" w:rsidRPr="000B76E7" w:rsidRDefault="002D413D" w:rsidP="002D413D">
      <w:pPr>
        <w:spacing w:after="240"/>
        <w:ind w:left="567" w:hanging="567"/>
      </w:pPr>
      <w:r w:rsidRPr="000B76E7">
        <w:t>–</w:t>
      </w:r>
      <w:r w:rsidRPr="000B76E7">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B76E7">
        <w:rPr>
          <w:rStyle w:val="FootnoteReference"/>
        </w:rPr>
        <w:footnoteReference w:id="2"/>
      </w:r>
      <w:r w:rsidRPr="000B76E7">
        <w:t>, και ιδίως το άρθρο 44,</w:t>
      </w:r>
    </w:p>
    <w:p w:rsidR="003D35A7" w:rsidRPr="000B76E7" w:rsidRDefault="003D35A7" w:rsidP="002D413D">
      <w:pPr>
        <w:pStyle w:val="NormalHanging12a"/>
        <w:widowControl/>
      </w:pPr>
      <w:r w:rsidRPr="000B76E7">
        <w:t>–</w:t>
      </w:r>
      <w:r w:rsidRPr="000B76E7">
        <w:tab/>
        <w:t>έχοντας υπόψη τον γενικό προϋπολογισμό της Ευρωπαϊκής Ένωσης για το οικονομικό έτος 2024, που εκδόθηκε οριστικά στις 22 Νοεμβρίου 2023</w:t>
      </w:r>
      <w:r w:rsidRPr="000B76E7">
        <w:rPr>
          <w:rStyle w:val="FootnoteReference"/>
        </w:rPr>
        <w:footnoteReference w:id="3"/>
      </w:r>
      <w:r w:rsidRPr="000B76E7">
        <w:t>,</w:t>
      </w:r>
    </w:p>
    <w:p w:rsidR="003D35A7" w:rsidRPr="000B76E7" w:rsidRDefault="003D35A7" w:rsidP="002D413D">
      <w:pPr>
        <w:pStyle w:val="NormalHanging12a"/>
        <w:widowControl/>
      </w:pPr>
      <w:r w:rsidRPr="000B76E7">
        <w:t>–</w:t>
      </w:r>
      <w:r w:rsidRPr="000B76E7">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0B76E7">
        <w:rPr>
          <w:rStyle w:val="FootnoteReference"/>
        </w:rPr>
        <w:footnoteReference w:id="4"/>
      </w:r>
      <w:r w:rsidRPr="000B76E7">
        <w:t>,</w:t>
      </w:r>
    </w:p>
    <w:p w:rsidR="003D35A7" w:rsidRPr="000B76E7" w:rsidRDefault="003D35A7" w:rsidP="002D413D">
      <w:pPr>
        <w:pStyle w:val="NormalHanging12a"/>
        <w:widowControl/>
      </w:pPr>
      <w:r w:rsidRPr="000B76E7">
        <w:lastRenderedPageBreak/>
        <w:t>–</w:t>
      </w:r>
      <w:r w:rsidRPr="000B76E7">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0B76E7">
        <w:rPr>
          <w:rStyle w:val="FootnoteReference"/>
        </w:rPr>
        <w:footnoteReference w:id="5"/>
      </w:r>
      <w:r w:rsidRPr="000B76E7">
        <w:t>,</w:t>
      </w:r>
    </w:p>
    <w:p w:rsidR="003D35A7" w:rsidRPr="000B76E7" w:rsidRDefault="003D35A7" w:rsidP="002D413D">
      <w:pPr>
        <w:pStyle w:val="NormalHanging12a"/>
        <w:widowControl/>
      </w:pPr>
      <w:r w:rsidRPr="000B76E7">
        <w:t>–</w:t>
      </w:r>
      <w:r w:rsidRPr="000B76E7">
        <w:tab/>
        <w:t>έχοντας υπόψη την 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w:t>
      </w:r>
      <w:r w:rsidRPr="000B76E7">
        <w:rPr>
          <w:rStyle w:val="FootnoteReference"/>
        </w:rPr>
        <w:footnoteReference w:id="6"/>
      </w:r>
      <w:r w:rsidRPr="000B76E7">
        <w:t>,</w:t>
      </w:r>
    </w:p>
    <w:p w:rsidR="003D35A7" w:rsidRPr="000B76E7" w:rsidRDefault="003D35A7" w:rsidP="002D413D">
      <w:pPr>
        <w:pStyle w:val="NormalHanging12a"/>
        <w:widowControl/>
      </w:pPr>
      <w:r w:rsidRPr="000B76E7">
        <w:t>–</w:t>
      </w:r>
      <w:r w:rsidRPr="000B76E7">
        <w:tab/>
        <w:t>έχοντας υπόψη το σχέδιο διορθωτικού προϋπολογισμού αριθ. 2/2024, που εγκρίθηκε από την Επιτροπή στις 9 Απριλίου 2024 (COM(2024)0920),</w:t>
      </w:r>
    </w:p>
    <w:p w:rsidR="003D35A7" w:rsidRPr="000B76E7" w:rsidRDefault="003D35A7" w:rsidP="002D413D">
      <w:pPr>
        <w:pStyle w:val="NormalHanging12a"/>
        <w:widowControl/>
      </w:pPr>
      <w:r w:rsidRPr="000B76E7">
        <w:t>–</w:t>
      </w:r>
      <w:r w:rsidRPr="000B76E7">
        <w:tab/>
        <w:t>έχοντας υπόψη τη θέση επί του σχεδίου διορθωτικού προϋπολογισμού αριθ. 2/2024, η οποία εγκρίθηκε από το Συμβούλιο στις 13 Σεπτεμβρίου 2024 και διαβιβάστηκε στο Ευρωπαϊκό Κοινοβούλιο στις 16 Σεπτεμβρίου 2024 (12081/2024 – C10</w:t>
      </w:r>
      <w:r w:rsidRPr="000B76E7">
        <w:noBreakHyphen/>
        <w:t>0107/2024)</w:t>
      </w:r>
    </w:p>
    <w:p w:rsidR="003D35A7" w:rsidRPr="000B76E7" w:rsidRDefault="003D35A7" w:rsidP="002D413D">
      <w:pPr>
        <w:pStyle w:val="NormalHanging12a"/>
        <w:widowControl/>
      </w:pPr>
      <w:r w:rsidRPr="000B76E7">
        <w:t>–</w:t>
      </w:r>
      <w:r w:rsidRPr="000B76E7">
        <w:tab/>
        <w:t xml:space="preserve">έχοντας υπόψη τα άρθρα 96 και 98 του Κανονισμού του, </w:t>
      </w:r>
    </w:p>
    <w:p w:rsidR="003D35A7" w:rsidRPr="000B76E7" w:rsidRDefault="003D35A7" w:rsidP="002D413D">
      <w:pPr>
        <w:pStyle w:val="NormalHanging12a"/>
        <w:widowControl/>
      </w:pPr>
      <w:r w:rsidRPr="000B76E7">
        <w:t>–</w:t>
      </w:r>
      <w:r w:rsidRPr="000B76E7">
        <w:tab/>
        <w:t>έχοντας υπόψη την έκθεση της Επιτροπής Προϋπολογισμών (A10-0005/2024),</w:t>
      </w:r>
    </w:p>
    <w:p w:rsidR="003D35A7" w:rsidRPr="000B76E7" w:rsidRDefault="003D35A7" w:rsidP="002D413D">
      <w:pPr>
        <w:pStyle w:val="NormalHanging12a"/>
        <w:widowControl/>
      </w:pPr>
      <w:r w:rsidRPr="000B76E7">
        <w:t>Α.</w:t>
      </w:r>
      <w:r w:rsidRPr="000B76E7">
        <w:tab/>
        <w:t>λαμβάνοντας υπόψη ότι σκοπός του σχεδίου διορθωτικού προϋπολογισμού αριθ. 2/2024 είναι να εγγραφεί στον προϋπολογισμό του 2024 το πλεόνασμα από το οικονομικό έτος 2023, που ανέρχεται σε 633 εκατομμύρια EUR·</w:t>
      </w:r>
    </w:p>
    <w:p w:rsidR="003D35A7" w:rsidRPr="000B76E7" w:rsidRDefault="003D35A7" w:rsidP="002D413D">
      <w:pPr>
        <w:pStyle w:val="NormalHanging12a"/>
        <w:widowControl/>
      </w:pPr>
      <w:r w:rsidRPr="000B76E7">
        <w:t>Β.</w:t>
      </w:r>
      <w:r w:rsidRPr="000B76E7">
        <w:tab/>
        <w:t>λαμβάνοντας υπόψη ότι οι κύριες συνιστώσες του εν λόγω πλεονάσματος είναι ένα θετικό αποτέλεσμα στα έσοδα ύψους 238,7 εκατομμυρίων EUR και ένα μη δαπανηθέν ποσό ύψους 393,9 εκατομμυρίων EUR·</w:t>
      </w:r>
    </w:p>
    <w:p w:rsidR="003D35A7" w:rsidRPr="000B76E7" w:rsidRDefault="003D35A7" w:rsidP="002D413D">
      <w:pPr>
        <w:pStyle w:val="NormalHanging12a"/>
        <w:widowControl/>
      </w:pPr>
      <w:r w:rsidRPr="000B76E7">
        <w:t>Γ.</w:t>
      </w:r>
      <w:r w:rsidRPr="000B76E7">
        <w:tab/>
        <w:t>λαμβάνοντας υπόψη ότι, όσον αφορά τα έσοδα, ο όγκος του πλεονάσματος οφειλόταν κατά κύριο λόγο στο ποσό των 1 766 εκατομμυρίων EUR σε χρηματοοικονομικά έσοδα, τόκους υπερημερίας και πρόστιμα, ενώ οι τελωνειακοί δασμοί υπολείπονταν του αναμενόμενου ποσού κατά 1 649 εκατομμύρια EUR· λαμβάνοντας υπόψη ότι το πλεόνασμα των διοικητικών εσόδων ύψους 107 εκατομμυρίων EUR οφείλεται κυρίως στο υψηλότερο από το προβλεπόμενο ποσοστό συνταξιοδοτικών εισφορών και στην εφαρμογή ενδιάμεσης μισθολογικής επικαιροποίησης τον Ιανουάριο του 2023, η οποία οδήγησε σε αύξηση του ποσού των φόρων, των εισφορών και των συνταξιοδοτικών εισφορών·</w:t>
      </w:r>
    </w:p>
    <w:p w:rsidR="003D35A7" w:rsidRPr="000B76E7" w:rsidRDefault="003D35A7" w:rsidP="002D413D">
      <w:pPr>
        <w:pStyle w:val="NormalHanging12a"/>
        <w:widowControl/>
      </w:pPr>
      <w:r w:rsidRPr="000B76E7">
        <w:t>Δ.</w:t>
      </w:r>
      <w:r w:rsidRPr="000B76E7">
        <w:tab/>
        <w:t>λαμβάνοντας υπόψη ότι, όσον αφορά τις δαπάνες, η υστέρηση στην εκτέλεση των πληρωμών από την Επιτροπή ανήλθε συνολικά σε 70 εκατομμύρια EUR (0,1</w:t>
      </w:r>
      <w:r w:rsidR="00326722" w:rsidRPr="000B76E7">
        <w:rPr>
          <w:lang w:val="en-GB"/>
        </w:rPr>
        <w:t> </w:t>
      </w:r>
      <w:r w:rsidRPr="000B76E7">
        <w:t>% των εγκεκριμένων πιστώσεων πληρωμών)· λαμβάνοντας υπόψη ότι τα άλλα θεσμικά όργανα ακύρωσαν πληρωμές ύψους 48 εκατομμυρίων EUR, διατηρώντας έτσι το χαμηλό ποσοστό υστέρησης στην εκτέλεση από τον προϋπολογισμό του 2022·</w:t>
      </w:r>
    </w:p>
    <w:p w:rsidR="003D35A7" w:rsidRPr="000B76E7" w:rsidRDefault="003D35A7" w:rsidP="002D413D">
      <w:pPr>
        <w:widowControl/>
        <w:spacing w:after="240"/>
        <w:ind w:left="567" w:hanging="567"/>
      </w:pPr>
      <w:r w:rsidRPr="000B76E7">
        <w:t>Ε.</w:t>
      </w:r>
      <w:r w:rsidRPr="000B76E7">
        <w:tab/>
        <w:t xml:space="preserve">λαμβάνοντας υπόψη ότι, με το σχέδιο διορθωτικού προϋπολογισμού </w:t>
      </w:r>
      <w:r w:rsidR="002D413D" w:rsidRPr="000B76E7">
        <w:t xml:space="preserve">αριθ. </w:t>
      </w:r>
      <w:r w:rsidRPr="000B76E7">
        <w:t xml:space="preserve">2/2024, οι ετήσιες κατ’ αποκοπή μειώσεις των συνεισφορών βάσει του ΑΕΕ που ισχύουν για τη </w:t>
      </w:r>
      <w:r w:rsidRPr="000B76E7">
        <w:lastRenderedPageBreak/>
        <w:t xml:space="preserve">Γερμανία, τις Κάτω Χώρες, τη Δανία, τη Σουηδία και την Αυστρία, ανέρχονται σε περίπου 5,4 δισεκατομμύρια EUR καθαρά· </w:t>
      </w:r>
    </w:p>
    <w:p w:rsidR="003D35A7" w:rsidRPr="000B76E7" w:rsidRDefault="003D35A7" w:rsidP="002D413D">
      <w:pPr>
        <w:widowControl/>
        <w:spacing w:after="240"/>
        <w:ind w:left="567" w:hanging="567"/>
      </w:pPr>
      <w:r w:rsidRPr="000B76E7">
        <w:t>ΣΤ.</w:t>
      </w:r>
      <w:r w:rsidRPr="000B76E7">
        <w:tab/>
        <w:t>λαμβάνοντας υπόψη ότι τα περιθώρια και η ευελιξία στον προϋπολογισμό της Ένωσης παραμένουν πολύ περιορισμένα παρά την αναθεώρηση του πολυετούς δημοσιονομικού πλαισίου (ΠΔΠ) και τη θέσπιση του νέου μέσου EURI για την κάλυψη του αυξημένου κόστους δανεισμού για το Μέσο Ανάκαμψης της Ευρωπαϊκής Ένωσης, κόστος το οποίο είναι εγγενώς ευμετάβλητο και προκαλεί αβεβαιότητα για τον προϋπολογισμό· λαμβάνοντας υπόψη ότι, σε αυτό το δύσκολο πλαίσιο, οι δημοσιονομικές ανάγκες αυξάνονται·</w:t>
      </w:r>
    </w:p>
    <w:p w:rsidR="003D35A7" w:rsidRPr="000B76E7" w:rsidRDefault="000B76E7" w:rsidP="000B76E7">
      <w:pPr>
        <w:pStyle w:val="NormalHanging12a"/>
        <w:widowControl/>
        <w:ind w:left="570" w:hanging="570"/>
      </w:pPr>
      <w:r w:rsidRPr="000B76E7">
        <w:t>1.</w:t>
      </w:r>
      <w:r w:rsidRPr="000B76E7">
        <w:tab/>
      </w:r>
      <w:r w:rsidR="003D35A7" w:rsidRPr="000B76E7">
        <w:t>λαμβάνει γνώση του σχεδίου διορθωτικού προϋπολογισμού</w:t>
      </w:r>
      <w:r w:rsidR="002D413D" w:rsidRPr="000B76E7">
        <w:t xml:space="preserve"> αριθ.</w:t>
      </w:r>
      <w:r w:rsidR="003D35A7" w:rsidRPr="000B76E7">
        <w:t xml:space="preserve"> 2/2024, όπως υποβλήθηκε από την Επιτροπή, σκοπός του οποίου είναι η εγγραφή στον προϋπολογισμό του πλεονάσματος του 2023, δηλαδή ποσού 633 εκατομμυρίων EUR, σύμφωνα με το άρθρο 18 παράγραφος 3 του δημοσιονομικού κανονισμού·</w:t>
      </w:r>
    </w:p>
    <w:p w:rsidR="003D35A7" w:rsidRPr="000B76E7" w:rsidRDefault="000B76E7" w:rsidP="000B76E7">
      <w:pPr>
        <w:pStyle w:val="NormalHanging12a"/>
        <w:widowControl/>
        <w:ind w:left="570" w:hanging="570"/>
      </w:pPr>
      <w:r w:rsidRPr="000B76E7">
        <w:t>2.</w:t>
      </w:r>
      <w:r w:rsidRPr="000B76E7">
        <w:tab/>
      </w:r>
      <w:r w:rsidR="003D35A7" w:rsidRPr="000B76E7">
        <w:t xml:space="preserve">εκφράζει την ικανοποίησή του για το γεγονός ότι το πλεόνασμα του 2023 είναι σημαντικά χαμηλότερο από το πλεόνασμα του 2022, γεγονός που καταδεικνύει τη βελτίωση των δημοσιονομικών προβλέψεων και της δημοσιονομικής διαχείρισης από την Επιτροπή· </w:t>
      </w:r>
    </w:p>
    <w:p w:rsidR="003D35A7" w:rsidRPr="000B76E7" w:rsidRDefault="000B76E7" w:rsidP="000B76E7">
      <w:pPr>
        <w:pStyle w:val="NormalHanging12a"/>
        <w:widowControl/>
        <w:ind w:left="570" w:hanging="570"/>
      </w:pPr>
      <w:r w:rsidRPr="000B76E7">
        <w:t>3.</w:t>
      </w:r>
      <w:r w:rsidRPr="000B76E7">
        <w:tab/>
      </w:r>
      <w:r w:rsidR="003D35A7" w:rsidRPr="000B76E7">
        <w:t>υπογραμμίζει ότι το πλεόνασμα μειώνει τη συνολική συνεισφορά των κρατών μελών στη χρηματοδότηση του προϋπολογισμού του 2024 σε μια περίοδο κατά την οποία οι χρηματοδοτικές ανάγκες παραμένουν υψηλές και ο δημοσιονομικός χώρος εντός του προϋπολογισμού της Ένωσης είναι εξαιρετικά περιορισμένος· υπογραμμίζει ότι ο προϋπολογισμός πρέπει να διατηρεί επαρκή ευελιξία ώστε να μπορεί η Ένωση να αντιμετωπίζει απρόβλεπτα γεγονότα και νεοεμφανιζόμενες προτεραιότητες·</w:t>
      </w:r>
    </w:p>
    <w:p w:rsidR="003D35A7" w:rsidRPr="000B76E7" w:rsidRDefault="000B76E7" w:rsidP="000B76E7">
      <w:pPr>
        <w:pStyle w:val="NormalHanging12a"/>
        <w:widowControl/>
        <w:ind w:left="570" w:hanging="570"/>
      </w:pPr>
      <w:r w:rsidRPr="000B76E7">
        <w:t>4.</w:t>
      </w:r>
      <w:r w:rsidRPr="000B76E7">
        <w:tab/>
      </w:r>
      <w:r w:rsidR="003D35A7" w:rsidRPr="000B76E7">
        <w:t>υπενθυμίζει τη μακροχρόνια θέση του ότι τα πρόστιμα και τα τέλη θα πρέπει να χρησιμοποιούνται ως πρόσθετα έσοδα για τον προϋπολογισμό της Ένωσης και δεν θα πρέπει να οδηγούν σε αντίστοιχη μείωση των συνεισφορών βάσει του ΑΕΕ·</w:t>
      </w:r>
    </w:p>
    <w:p w:rsidR="003D35A7" w:rsidRPr="000B76E7" w:rsidRDefault="000B76E7" w:rsidP="000B76E7">
      <w:pPr>
        <w:widowControl/>
        <w:spacing w:after="240"/>
        <w:ind w:left="570" w:hanging="570"/>
      </w:pPr>
      <w:r w:rsidRPr="000B76E7">
        <w:t>5.</w:t>
      </w:r>
      <w:r w:rsidRPr="000B76E7">
        <w:tab/>
      </w:r>
      <w:r w:rsidR="003D35A7" w:rsidRPr="000B76E7">
        <w:t>λαμβάνει γνώση του υπολογισμού των προσαρμοσμένων ετήσιων κατ’ αποκοπή μειώσεων των συνεισφορών βάσει του ΑΕΕ για τα πέντε δικαιούχα κράτη μέλη, οι οποίες ανέρχονται σε περίπου 5,4 δισεκατομμύρια EUR καθαρά· επισημαίνει το γεγονός ότι οι εν λόγω μειώσεις των συνεισφορών συνδέονται με τον πληθωρισμό και, κατά συνέπεια, η αύξησή τους υπερέβαινε την αντίστοιχη αύξηση των ανώτατων ορίων του ΠΔΠ, τα οποία προσαρμόζονται ετησίως με βάση τον αποπληθωριστή 2 %· τονίζει ότι αυτή η ανωμαλία οδηγεί σε αύξηση της επιβάρυνσης για τα υπόλοιπα κράτη μέλη·</w:t>
      </w:r>
    </w:p>
    <w:p w:rsidR="003D35A7" w:rsidRPr="000B76E7" w:rsidRDefault="000B76E7" w:rsidP="000B76E7">
      <w:pPr>
        <w:pStyle w:val="NormalHanging12a"/>
        <w:widowControl/>
        <w:ind w:left="570" w:hanging="570"/>
        <w:rPr>
          <w:szCs w:val="24"/>
        </w:rPr>
      </w:pPr>
      <w:r w:rsidRPr="000B76E7">
        <w:rPr>
          <w:szCs w:val="24"/>
        </w:rPr>
        <w:t>6.</w:t>
      </w:r>
      <w:r w:rsidRPr="000B76E7">
        <w:rPr>
          <w:szCs w:val="24"/>
        </w:rPr>
        <w:tab/>
      </w:r>
      <w:r w:rsidR="003D35A7" w:rsidRPr="000B76E7">
        <w:t xml:space="preserve">τονίζει την ανάγκη για βιώσιμα έσοδα για τον προϋπολογισμό της Ένωσης· εκφράζει, επομένως, τη λύπη του για την απουσία προόδου στο Συμβούλιο όσον αφορά τη μεταρρύθμιση του συστήματος ιδίων πόρων </w:t>
      </w:r>
      <w:r w:rsidR="003D35A7" w:rsidRPr="000B76E7">
        <w:rPr>
          <w:color w:val="1E1E1F"/>
          <w:shd w:val="clear" w:color="auto" w:fill="FFFFFF"/>
        </w:rPr>
        <w:t>σύμφωνα με τον οδικό χάρτη της διοργανικής συμφωνίας· υπενθυμίζει</w:t>
      </w:r>
      <w:r w:rsidR="003D35A7" w:rsidRPr="000B76E7">
        <w:t xml:space="preserve"> </w:t>
      </w:r>
      <w:r w:rsidR="003D35A7" w:rsidRPr="000B76E7">
        <w:rPr>
          <w:color w:val="1E1E1F"/>
          <w:shd w:val="clear" w:color="auto" w:fill="FFFFFF"/>
        </w:rPr>
        <w:t>τη θέση του υπέρ των τροποποιημένων προτάσεων της Επιτροπής και παροτρύνει</w:t>
      </w:r>
      <w:r w:rsidR="003D35A7" w:rsidRPr="000B76E7">
        <w:t xml:space="preserve"> το Συμβούλιο να εγκρίνει ταχέως τις προτάσεις αυτές προκειμένου να αυξηθούν οι ίδιοι πόροι που είναι διαθέσιμοι για τον προϋπολογισμό της Ένωσης·</w:t>
      </w:r>
    </w:p>
    <w:p w:rsidR="003D35A7" w:rsidRPr="000B76E7" w:rsidRDefault="000B76E7" w:rsidP="000B76E7">
      <w:pPr>
        <w:pStyle w:val="NormalHanging12a"/>
        <w:widowControl/>
        <w:ind w:left="570" w:hanging="570"/>
      </w:pPr>
      <w:r w:rsidRPr="000B76E7">
        <w:t>7.</w:t>
      </w:r>
      <w:r w:rsidRPr="000B76E7">
        <w:tab/>
      </w:r>
      <w:r w:rsidR="003D35A7" w:rsidRPr="000B76E7">
        <w:t>εγκρίνει τη θέση του Συμβουλίου επί του σχεδίου διορθωτικού προϋπολογισμού αριθ. 2/2024·</w:t>
      </w:r>
    </w:p>
    <w:p w:rsidR="003D35A7" w:rsidRPr="000B76E7" w:rsidRDefault="000B76E7" w:rsidP="000B76E7">
      <w:pPr>
        <w:pStyle w:val="NormalHanging12a"/>
        <w:widowControl/>
        <w:ind w:left="570" w:hanging="570"/>
      </w:pPr>
      <w:r w:rsidRPr="000B76E7">
        <w:lastRenderedPageBreak/>
        <w:t>8.</w:t>
      </w:r>
      <w:r w:rsidRPr="000B76E7">
        <w:tab/>
      </w:r>
      <w:r w:rsidR="003D35A7" w:rsidRPr="000B76E7">
        <w:t xml:space="preserve">αναθέτει στην Πρόεδρό του να διαπιστώσει την οριστική έκδοση του διορθωτικού προϋπολογισμού αριθ. </w:t>
      </w:r>
      <w:r w:rsidR="002D413D" w:rsidRPr="000B76E7">
        <w:t>3</w:t>
      </w:r>
      <w:r w:rsidR="003D35A7" w:rsidRPr="000B76E7">
        <w:t xml:space="preserve">/2024 και να μεριμνήσει για τη δημοσίευσή του στην </w:t>
      </w:r>
      <w:r w:rsidR="003D35A7" w:rsidRPr="000B76E7">
        <w:rPr>
          <w:i/>
        </w:rPr>
        <w:t>Επίσημη Εφημερίδα της Ευρωπαϊκής Ένωσης</w:t>
      </w:r>
      <w:r w:rsidR="003D35A7" w:rsidRPr="000B76E7">
        <w:t>·</w:t>
      </w:r>
    </w:p>
    <w:p w:rsidR="003D35A7" w:rsidRPr="000B76E7" w:rsidRDefault="000B76E7" w:rsidP="000B76E7">
      <w:pPr>
        <w:pStyle w:val="NormalHanging12a"/>
        <w:widowControl/>
        <w:ind w:left="570" w:hanging="570"/>
      </w:pPr>
      <w:r w:rsidRPr="000B76E7">
        <w:t>9.</w:t>
      </w:r>
      <w:r w:rsidRPr="000B76E7">
        <w:tab/>
      </w:r>
      <w:r w:rsidR="003D35A7" w:rsidRPr="000B76E7">
        <w:t>αναθέτει στην Πρόεδρό του να διαβιβάσει το παρόν ψήφισμα στο Συμβούλιο, στην Επιτροπή, στα λοιπά ενδιαφερόμενα θεσμικά όργανα και οργανισμούς, καθώς και στα εθνικά κοινοβούλια.</w:t>
      </w:r>
    </w:p>
    <w:p w:rsidR="002D413D" w:rsidRPr="000B76E7" w:rsidRDefault="002D413D">
      <w:pPr>
        <w:widowControl/>
        <w:spacing w:after="240"/>
        <w:ind w:left="567" w:hanging="567"/>
      </w:pPr>
      <w:bookmarkStart w:id="9" w:name="TextBodyEnd"/>
      <w:bookmarkEnd w:id="9"/>
    </w:p>
    <w:sectPr w:rsidR="002D413D" w:rsidRPr="000B76E7" w:rsidSect="00DA0F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DBB" w:rsidRPr="00DA0F27" w:rsidRDefault="00BD5DBB">
      <w:r w:rsidRPr="00DA0F27">
        <w:separator/>
      </w:r>
    </w:p>
  </w:endnote>
  <w:endnote w:type="continuationSeparator" w:id="0">
    <w:p w:rsidR="00BD5DBB" w:rsidRPr="00DA0F27" w:rsidRDefault="00BD5DBB">
      <w:r w:rsidRPr="00DA0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DBB" w:rsidRPr="00DA0F27" w:rsidRDefault="00BD5DBB">
      <w:r w:rsidRPr="00DA0F27">
        <w:separator/>
      </w:r>
    </w:p>
  </w:footnote>
  <w:footnote w:type="continuationSeparator" w:id="0">
    <w:p w:rsidR="00BD5DBB" w:rsidRPr="00DA0F27" w:rsidRDefault="00BD5DBB">
      <w:r w:rsidRPr="00DA0F27">
        <w:continuationSeparator/>
      </w:r>
    </w:p>
  </w:footnote>
  <w:footnote w:id="1">
    <w:p w:rsidR="003D35A7" w:rsidRPr="00DA0F27" w:rsidRDefault="003D35A7" w:rsidP="00DA0F27">
      <w:pPr>
        <w:pStyle w:val="FootnoteText"/>
        <w:ind w:left="567" w:hanging="567"/>
        <w:rPr>
          <w:sz w:val="24"/>
          <w:lang w:val="el-GR"/>
        </w:rPr>
      </w:pPr>
      <w:r w:rsidRPr="00DA0F27">
        <w:rPr>
          <w:rStyle w:val="FootnoteReference"/>
          <w:sz w:val="24"/>
          <w:lang w:val="el-GR"/>
        </w:rPr>
        <w:footnoteRef/>
      </w:r>
      <w:r w:rsidR="00DA0F27" w:rsidRPr="00DA0F27">
        <w:rPr>
          <w:sz w:val="24"/>
          <w:lang w:val="el-GR"/>
        </w:rPr>
        <w:t xml:space="preserve"> </w:t>
      </w:r>
      <w:r w:rsidR="00DA0F27" w:rsidRPr="00DA0F27">
        <w:rPr>
          <w:sz w:val="24"/>
          <w:lang w:val="el-GR"/>
        </w:rPr>
        <w:tab/>
      </w:r>
      <w:r w:rsidRPr="00DA0F27">
        <w:rPr>
          <w:sz w:val="24"/>
          <w:lang w:val="el-GR"/>
        </w:rPr>
        <w:t xml:space="preserve">ΕΕ L 193 της 30.7.2018, σ. 1, ELI: </w:t>
      </w:r>
      <w:hyperlink r:id="rId1" w:history="1">
        <w:r w:rsidRPr="00DA0F27">
          <w:rPr>
            <w:rStyle w:val="Hyperlink"/>
            <w:sz w:val="24"/>
            <w:lang w:val="el-GR"/>
          </w:rPr>
          <w:t>http://data.europa.eu/eli/reg/2018/1046/oj</w:t>
        </w:r>
      </w:hyperlink>
      <w:r w:rsidRPr="00DA0F27">
        <w:rPr>
          <w:sz w:val="24"/>
          <w:lang w:val="el-GR"/>
        </w:rPr>
        <w:t>.</w:t>
      </w:r>
    </w:p>
  </w:footnote>
  <w:footnote w:id="2">
    <w:p w:rsidR="002D413D" w:rsidRPr="007648D5" w:rsidRDefault="002D413D" w:rsidP="002D413D">
      <w:pPr>
        <w:pStyle w:val="FootnoteText"/>
        <w:rPr>
          <w:sz w:val="24"/>
          <w:szCs w:val="24"/>
          <w:lang w:val="fi-FI"/>
        </w:rPr>
      </w:pPr>
      <w:r w:rsidRPr="007648D5">
        <w:rPr>
          <w:rStyle w:val="FootnoteReference"/>
          <w:sz w:val="24"/>
          <w:szCs w:val="24"/>
        </w:rPr>
        <w:footnoteRef/>
      </w:r>
      <w:r w:rsidRPr="007648D5">
        <w:rPr>
          <w:sz w:val="24"/>
          <w:szCs w:val="24"/>
          <w:lang w:val="fi-FI"/>
        </w:rPr>
        <w:t xml:space="preserve"> </w:t>
      </w:r>
      <w:r w:rsidRPr="007648D5">
        <w:rPr>
          <w:sz w:val="24"/>
          <w:szCs w:val="24"/>
          <w:lang w:val="fi-FI"/>
        </w:rPr>
        <w:tab/>
      </w:r>
      <w:r w:rsidRPr="007648D5">
        <w:rPr>
          <w:sz w:val="24"/>
          <w:szCs w:val="24"/>
          <w:lang w:val="fi-FI"/>
        </w:rPr>
        <w:tab/>
      </w:r>
      <w:r>
        <w:rPr>
          <w:sz w:val="24"/>
          <w:szCs w:val="24"/>
          <w:lang w:val="el-GR"/>
        </w:rPr>
        <w:t>ΕΕ</w:t>
      </w:r>
      <w:r w:rsidRPr="007648D5">
        <w:rPr>
          <w:sz w:val="24"/>
          <w:szCs w:val="24"/>
          <w:lang w:val="fi-FI"/>
        </w:rPr>
        <w:t xml:space="preserve"> L, 2024/2509, 26.9.2024, ELI: </w:t>
      </w:r>
      <w:hyperlink r:id="rId2" w:history="1">
        <w:r w:rsidRPr="002D413D">
          <w:rPr>
            <w:rStyle w:val="Hyperlink"/>
            <w:sz w:val="24"/>
            <w:szCs w:val="24"/>
            <w:lang w:val="fi-FI"/>
          </w:rPr>
          <w:t>http://data.europa.eu/eli/reg/2024/2509/oj</w:t>
        </w:r>
      </w:hyperlink>
      <w:r w:rsidRPr="007648D5">
        <w:rPr>
          <w:sz w:val="24"/>
          <w:szCs w:val="24"/>
          <w:lang w:val="fi-FI"/>
        </w:rPr>
        <w:t>.</w:t>
      </w:r>
    </w:p>
  </w:footnote>
  <w:footnote w:id="3">
    <w:p w:rsidR="003D35A7" w:rsidRPr="007E7131" w:rsidRDefault="003D35A7" w:rsidP="00DA0F27">
      <w:pPr>
        <w:pStyle w:val="FootnoteText"/>
        <w:ind w:left="567" w:hanging="567"/>
        <w:rPr>
          <w:sz w:val="24"/>
          <w:lang w:val="fi-FI"/>
        </w:rPr>
      </w:pPr>
      <w:r w:rsidRPr="00DA0F27">
        <w:rPr>
          <w:rStyle w:val="FootnoteReference"/>
          <w:sz w:val="24"/>
          <w:lang w:val="el-GR"/>
        </w:rPr>
        <w:footnoteRef/>
      </w:r>
      <w:r w:rsidR="00DA0F27" w:rsidRPr="007E7131">
        <w:rPr>
          <w:sz w:val="24"/>
          <w:lang w:val="fi-FI"/>
        </w:rPr>
        <w:t xml:space="preserve"> </w:t>
      </w:r>
      <w:r w:rsidR="00DA0F27" w:rsidRPr="007E7131">
        <w:rPr>
          <w:sz w:val="24"/>
          <w:lang w:val="fi-FI"/>
        </w:rPr>
        <w:tab/>
      </w:r>
      <w:r w:rsidRPr="00DA0F27">
        <w:rPr>
          <w:sz w:val="24"/>
          <w:lang w:val="el-GR"/>
        </w:rPr>
        <w:t>ΕΕ</w:t>
      </w:r>
      <w:r w:rsidRPr="007E7131">
        <w:rPr>
          <w:sz w:val="24"/>
          <w:lang w:val="fi-FI"/>
        </w:rPr>
        <w:t xml:space="preserve"> L</w:t>
      </w:r>
      <w:r w:rsidR="002D413D" w:rsidRPr="007E7131">
        <w:rPr>
          <w:sz w:val="24"/>
          <w:lang w:val="fi-FI"/>
        </w:rPr>
        <w:t>,</w:t>
      </w:r>
      <w:r w:rsidRPr="007E7131">
        <w:rPr>
          <w:sz w:val="24"/>
          <w:lang w:val="fi-FI"/>
        </w:rPr>
        <w:t xml:space="preserve"> 2024/207, 22.2.2024, ELI: </w:t>
      </w:r>
      <w:hyperlink r:id="rId3" w:history="1">
        <w:r w:rsidRPr="007E7131">
          <w:rPr>
            <w:rStyle w:val="Hyperlink"/>
            <w:sz w:val="24"/>
            <w:lang w:val="fi-FI"/>
          </w:rPr>
          <w:t>http://data.europa.eu/eli/budget/2024/207/oj</w:t>
        </w:r>
      </w:hyperlink>
      <w:r w:rsidRPr="007E7131">
        <w:rPr>
          <w:sz w:val="24"/>
          <w:lang w:val="fi-FI"/>
        </w:rPr>
        <w:t>.</w:t>
      </w:r>
    </w:p>
  </w:footnote>
  <w:footnote w:id="4">
    <w:p w:rsidR="003D35A7" w:rsidRPr="00DA0F27" w:rsidRDefault="003D35A7" w:rsidP="00DA0F27">
      <w:pPr>
        <w:pStyle w:val="FootnoteText"/>
        <w:ind w:left="567" w:hanging="567"/>
        <w:rPr>
          <w:sz w:val="24"/>
          <w:lang w:val="el-GR"/>
        </w:rPr>
      </w:pPr>
      <w:r w:rsidRPr="00DA0F27">
        <w:rPr>
          <w:rStyle w:val="FootnoteReference"/>
          <w:sz w:val="24"/>
          <w:lang w:val="el-GR"/>
        </w:rPr>
        <w:footnoteRef/>
      </w:r>
      <w:r w:rsidR="00DA0F27" w:rsidRPr="00DA0F27">
        <w:rPr>
          <w:sz w:val="24"/>
          <w:lang w:val="el-GR"/>
        </w:rPr>
        <w:t xml:space="preserve"> </w:t>
      </w:r>
      <w:r w:rsidR="00DA0F27" w:rsidRPr="00DA0F27">
        <w:rPr>
          <w:sz w:val="24"/>
          <w:lang w:val="el-GR"/>
        </w:rPr>
        <w:tab/>
      </w:r>
      <w:r w:rsidRPr="00DA0F27">
        <w:rPr>
          <w:sz w:val="24"/>
          <w:lang w:val="el-GR"/>
        </w:rPr>
        <w:t xml:space="preserve">ΕΕ L 433 I της 22.12.2020, σ. 11, ELI: </w:t>
      </w:r>
      <w:hyperlink r:id="rId4" w:history="1">
        <w:r w:rsidRPr="00DA0F27">
          <w:rPr>
            <w:rStyle w:val="Hyperlink"/>
            <w:sz w:val="24"/>
            <w:lang w:val="el-GR"/>
          </w:rPr>
          <w:t>http://data.europa.eu/eli/reg/2020/2093/oj</w:t>
        </w:r>
      </w:hyperlink>
      <w:r w:rsidRPr="00DA0F27">
        <w:rPr>
          <w:sz w:val="24"/>
          <w:lang w:val="el-GR"/>
        </w:rPr>
        <w:t>.</w:t>
      </w:r>
    </w:p>
  </w:footnote>
  <w:footnote w:id="5">
    <w:p w:rsidR="003D35A7" w:rsidRPr="00DA0F27" w:rsidRDefault="003D35A7" w:rsidP="00DA0F27">
      <w:pPr>
        <w:pStyle w:val="FootnoteText"/>
        <w:ind w:left="567" w:hanging="567"/>
        <w:rPr>
          <w:sz w:val="24"/>
          <w:lang w:val="el-GR"/>
        </w:rPr>
      </w:pPr>
      <w:r w:rsidRPr="00DA0F27">
        <w:rPr>
          <w:rStyle w:val="FootnoteReference"/>
          <w:sz w:val="24"/>
          <w:lang w:val="el-GR"/>
        </w:rPr>
        <w:footnoteRef/>
      </w:r>
      <w:r w:rsidR="00DA0F27" w:rsidRPr="00DA0F27">
        <w:rPr>
          <w:sz w:val="24"/>
          <w:lang w:val="el-GR"/>
        </w:rPr>
        <w:t xml:space="preserve"> </w:t>
      </w:r>
      <w:r w:rsidR="00DA0F27" w:rsidRPr="00DA0F27">
        <w:rPr>
          <w:sz w:val="24"/>
          <w:lang w:val="el-GR"/>
        </w:rPr>
        <w:tab/>
      </w:r>
      <w:r w:rsidRPr="00DA0F27">
        <w:rPr>
          <w:sz w:val="24"/>
          <w:lang w:val="el-GR"/>
        </w:rPr>
        <w:t xml:space="preserve">ΕΕ L 433 I της 22.12.2020, σ. 28, ELI: </w:t>
      </w:r>
      <w:hyperlink r:id="rId5" w:history="1">
        <w:r w:rsidRPr="00DA0F27">
          <w:rPr>
            <w:rStyle w:val="Hyperlink"/>
            <w:sz w:val="24"/>
            <w:lang w:val="el-GR"/>
          </w:rPr>
          <w:t>http://data.europa.eu/eli/agree_interinstit/2020/1222/oj</w:t>
        </w:r>
      </w:hyperlink>
      <w:r w:rsidRPr="00DA0F27">
        <w:rPr>
          <w:sz w:val="24"/>
          <w:lang w:val="el-GR"/>
        </w:rPr>
        <w:t>.</w:t>
      </w:r>
    </w:p>
  </w:footnote>
  <w:footnote w:id="6">
    <w:p w:rsidR="003D35A7" w:rsidRPr="00DA0F27" w:rsidRDefault="003D35A7" w:rsidP="00DA0F27">
      <w:pPr>
        <w:pStyle w:val="FootnoteText"/>
        <w:ind w:left="567" w:hanging="567"/>
        <w:rPr>
          <w:sz w:val="24"/>
          <w:lang w:val="el-GR"/>
        </w:rPr>
      </w:pPr>
      <w:r w:rsidRPr="00DA0F27">
        <w:rPr>
          <w:rStyle w:val="FootnoteReference"/>
          <w:sz w:val="24"/>
          <w:lang w:val="el-GR"/>
        </w:rPr>
        <w:footnoteRef/>
      </w:r>
      <w:r w:rsidR="00DA0F27" w:rsidRPr="00DA0F27">
        <w:rPr>
          <w:sz w:val="24"/>
          <w:lang w:val="el-GR"/>
        </w:rPr>
        <w:t xml:space="preserve"> </w:t>
      </w:r>
      <w:r w:rsidR="00DA0F27" w:rsidRPr="00DA0F27">
        <w:rPr>
          <w:sz w:val="24"/>
          <w:lang w:val="el-GR"/>
        </w:rPr>
        <w:tab/>
      </w:r>
      <w:r w:rsidRPr="00DA0F27">
        <w:rPr>
          <w:sz w:val="24"/>
          <w:lang w:val="el-GR"/>
        </w:rPr>
        <w:t>ΕΕ L 424 της 15.12.2020,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A6C255B"/>
    <w:multiLevelType w:val="hybridMultilevel"/>
    <w:tmpl w:val="F9143CEE"/>
    <w:lvl w:ilvl="0" w:tplc="7E5853E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A9F755E"/>
    <w:multiLevelType w:val="hybridMultilevel"/>
    <w:tmpl w:val="EB861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EL"/>
    <w:docVar w:name="dvnumam" w:val="0"/>
    <w:docVar w:name="dvpe" w:val="763.033"/>
    <w:docVar w:name="dvrapporteur" w:val="Εισηγητής: "/>
    <w:docVar w:name="dvtitre" w:val="Νομοθετικό ψήφισμα του Ευρωπαϊκού Κοινοβουλίου σχετικά με τη θέση του Συμβουλίου επί του σχεδίου διορθωτικού προϋπολογισμού αριθ. 2/2024 της Ευρωπαϊκής Ένωσης για το οικονομικό έτος 2024 – εγγραφή του πλεονάσματος του οικονομικού έτους 2023(12081/2024 – C10-0107/2024 – 2024/0089(BUD))"/>
  </w:docVars>
  <w:rsids>
    <w:rsidRoot w:val="00BD5DBB"/>
    <w:rsid w:val="00002272"/>
    <w:rsid w:val="00064002"/>
    <w:rsid w:val="000677B9"/>
    <w:rsid w:val="000831BA"/>
    <w:rsid w:val="000A42CC"/>
    <w:rsid w:val="000B76E7"/>
    <w:rsid w:val="000E7DD9"/>
    <w:rsid w:val="0010095E"/>
    <w:rsid w:val="00125B37"/>
    <w:rsid w:val="00187494"/>
    <w:rsid w:val="001F32AE"/>
    <w:rsid w:val="002767FF"/>
    <w:rsid w:val="002B18FE"/>
    <w:rsid w:val="002B5493"/>
    <w:rsid w:val="002D413D"/>
    <w:rsid w:val="00326722"/>
    <w:rsid w:val="00343214"/>
    <w:rsid w:val="00361C00"/>
    <w:rsid w:val="00395FA1"/>
    <w:rsid w:val="003D35A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13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DBB"/>
    <w:rsid w:val="00BD7BD8"/>
    <w:rsid w:val="00BE6ADC"/>
    <w:rsid w:val="00C05BFE"/>
    <w:rsid w:val="00C23CD4"/>
    <w:rsid w:val="00C61C0C"/>
    <w:rsid w:val="00C941CB"/>
    <w:rsid w:val="00CC2357"/>
    <w:rsid w:val="00CF071A"/>
    <w:rsid w:val="00D058B8"/>
    <w:rsid w:val="00D56C11"/>
    <w:rsid w:val="00D834A0"/>
    <w:rsid w:val="00D872DF"/>
    <w:rsid w:val="00D91E21"/>
    <w:rsid w:val="00DA0F2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63F07"/>
  <w15:chartTrackingRefBased/>
  <w15:docId w15:val="{D33D4258-6ADE-46D5-95D8-7C6CC7C4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35A7"/>
    <w:pPr>
      <w:spacing w:before="480" w:after="240"/>
    </w:pPr>
  </w:style>
  <w:style w:type="paragraph" w:customStyle="1" w:styleId="NormalBold">
    <w:name w:val="NormalBold"/>
    <w:basedOn w:val="Normal"/>
    <w:rsid w:val="003D35A7"/>
    <w:rPr>
      <w:b/>
    </w:rPr>
  </w:style>
  <w:style w:type="paragraph" w:customStyle="1" w:styleId="NormalHanging12a">
    <w:name w:val="NormalHanging12a"/>
    <w:basedOn w:val="Normal"/>
    <w:rsid w:val="003D35A7"/>
    <w:pPr>
      <w:spacing w:after="240"/>
      <w:ind w:left="567" w:hanging="567"/>
    </w:pPr>
  </w:style>
  <w:style w:type="character" w:styleId="Hyperlink">
    <w:name w:val="Hyperlink"/>
    <w:basedOn w:val="DefaultParagraphFont"/>
    <w:rsid w:val="003D35A7"/>
    <w:rPr>
      <w:color w:val="0563C1" w:themeColor="hyperlink"/>
      <w:u w:val="single"/>
    </w:rPr>
  </w:style>
  <w:style w:type="paragraph" w:styleId="BalloonText">
    <w:name w:val="Balloon Text"/>
    <w:basedOn w:val="Normal"/>
    <w:link w:val="BalloonTextChar"/>
    <w:rsid w:val="002D413D"/>
    <w:rPr>
      <w:rFonts w:ascii="Segoe UI" w:hAnsi="Segoe UI" w:cs="Segoe UI"/>
      <w:sz w:val="18"/>
      <w:szCs w:val="18"/>
    </w:rPr>
  </w:style>
  <w:style w:type="character" w:customStyle="1" w:styleId="BalloonTextChar">
    <w:name w:val="Balloon Text Char"/>
    <w:basedOn w:val="DefaultParagraphFont"/>
    <w:link w:val="BalloonText"/>
    <w:rsid w:val="002D413D"/>
    <w:rPr>
      <w:rFonts w:ascii="Segoe UI" w:hAnsi="Segoe UI" w:cs="Segoe UI"/>
      <w:sz w:val="18"/>
      <w:szCs w:val="18"/>
      <w:lang w:val="el-GR"/>
    </w:rPr>
  </w:style>
  <w:style w:type="character" w:styleId="FollowedHyperlink">
    <w:name w:val="FollowedHyperlink"/>
    <w:basedOn w:val="DefaultParagraphFont"/>
    <w:rsid w:val="002D413D"/>
    <w:rPr>
      <w:color w:val="954F72" w:themeColor="followedHyperlink"/>
      <w:u w:val="single"/>
    </w:rPr>
  </w:style>
  <w:style w:type="paragraph" w:styleId="ListParagraph">
    <w:name w:val="List Paragraph"/>
    <w:basedOn w:val="Normal"/>
    <w:uiPriority w:val="34"/>
    <w:qFormat/>
    <w:rsid w:val="002D41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FF42D-3606-4062-A25B-1CE3B6359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1134</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LEX Amalia</dc:creator>
  <cp:keywords/>
  <cp:lastModifiedBy>KOLOKYTHIA Amalia</cp:lastModifiedBy>
  <cp:revision>2</cp:revision>
  <cp:lastPrinted>2004-11-19T15:42:00Z</cp:lastPrinted>
  <dcterms:created xsi:type="dcterms:W3CDTF">2024-10-22T10:24:00Z</dcterms:created>
  <dcterms:modified xsi:type="dcterms:W3CDTF">2024-10-22T10:24:00Z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A10-0005/2024</vt:lpwstr>
  </property>
  <property fmtid="{D5CDD505-2E9C-101B-9397-08002B2CF9AE}" pid="4" name="&lt;Type&gt;">
    <vt:lpwstr>RR</vt:lpwstr>
  </property>
</Properties>
</file>