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0D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0D31" w:rsidRDefault="00D90750" w:rsidP="0010095E">
            <w:pPr>
              <w:pStyle w:val="EPName"/>
            </w:pPr>
            <w:r w:rsidRPr="009D0D31">
              <w:t>Euroopa Parlament</w:t>
            </w:r>
          </w:p>
          <w:p w:rsidR="00751A4A" w:rsidRPr="009D0D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D31">
              <w:t>2024</w:t>
            </w:r>
            <w:r w:rsidR="00817416" w:rsidRPr="009D0D31">
              <w:t>-202</w:t>
            </w:r>
            <w:r w:rsidRPr="009D0D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0D31" w:rsidRDefault="00187494" w:rsidP="0010095E">
            <w:pPr>
              <w:pStyle w:val="EPLogo"/>
            </w:pPr>
            <w:r w:rsidRPr="009D0D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0D31" w:rsidRDefault="00D058B8" w:rsidP="004C5D52">
      <w:pPr>
        <w:pStyle w:val="LineTop"/>
      </w:pPr>
    </w:p>
    <w:p w:rsidR="00680577" w:rsidRPr="009D0D31" w:rsidRDefault="00D90750" w:rsidP="00680577">
      <w:pPr>
        <w:pStyle w:val="EPBodyTA1"/>
      </w:pPr>
      <w:r w:rsidRPr="009D0D31">
        <w:t>VASTUVÕETUD TEKSTID</w:t>
      </w:r>
    </w:p>
    <w:p w:rsidR="00D058B8" w:rsidRPr="009D0D31" w:rsidRDefault="00D058B8" w:rsidP="00D058B8">
      <w:pPr>
        <w:pStyle w:val="LineBottom"/>
      </w:pPr>
    </w:p>
    <w:p w:rsidR="00D90750" w:rsidRPr="009D0D31" w:rsidRDefault="00D90750" w:rsidP="00D90750">
      <w:pPr>
        <w:pStyle w:val="ATHeading1"/>
      </w:pPr>
      <w:bookmarkStart w:id="0" w:name="TANumber"/>
      <w:r w:rsidRPr="009D0D31">
        <w:t>P10_TA(2024)00</w:t>
      </w:r>
      <w:r w:rsidR="00290588" w:rsidRPr="009D0D31">
        <w:t>23</w:t>
      </w:r>
      <w:bookmarkEnd w:id="0"/>
    </w:p>
    <w:p w:rsidR="00D90750" w:rsidRPr="009D0D31" w:rsidRDefault="00466CAD" w:rsidP="00D90750">
      <w:pPr>
        <w:pStyle w:val="ATHeading2"/>
      </w:pPr>
      <w:bookmarkStart w:id="1" w:name="title"/>
      <w:r w:rsidRPr="009D0D31">
        <w:t>2024. </w:t>
      </w:r>
      <w:r w:rsidR="00D90750" w:rsidRPr="009D0D31">
        <w:t xml:space="preserve">aasta </w:t>
      </w:r>
      <w:proofErr w:type="spellStart"/>
      <w:r w:rsidR="00D90750" w:rsidRPr="009D0D31">
        <w:t>üldeel</w:t>
      </w:r>
      <w:r w:rsidRPr="009D0D31">
        <w:t>arve</w:t>
      </w:r>
      <w:proofErr w:type="spellEnd"/>
      <w:r w:rsidRPr="009D0D31">
        <w:t xml:space="preserve"> paranduseelarve projekt nr 2</w:t>
      </w:r>
      <w:r w:rsidR="009262AF">
        <w:t>/2024</w:t>
      </w:r>
      <w:bookmarkStart w:id="2" w:name="_GoBack"/>
      <w:bookmarkEnd w:id="2"/>
      <w:r w:rsidRPr="009D0D31">
        <w:t>: 2023. </w:t>
      </w:r>
      <w:r w:rsidR="00D90750" w:rsidRPr="009D0D31">
        <w:t>aasta ülejäägi kandmine eelarvesse</w:t>
      </w:r>
      <w:bookmarkEnd w:id="1"/>
    </w:p>
    <w:p w:rsidR="00D90750" w:rsidRPr="009D0D31" w:rsidRDefault="00D90750" w:rsidP="00D90750">
      <w:pPr>
        <w:rPr>
          <w:i/>
          <w:vanish/>
        </w:rPr>
      </w:pPr>
      <w:r w:rsidRPr="009D0D31">
        <w:rPr>
          <w:i/>
        </w:rPr>
        <w:fldChar w:fldCharType="begin"/>
      </w:r>
      <w:r w:rsidRPr="009D0D31">
        <w:rPr>
          <w:i/>
        </w:rPr>
        <w:instrText xml:space="preserve"> TC"(</w:instrText>
      </w:r>
      <w:bookmarkStart w:id="3" w:name="DocNumber"/>
      <w:r w:rsidRPr="009D0D31">
        <w:rPr>
          <w:i/>
        </w:rPr>
        <w:instrText>A10-0005/2024</w:instrText>
      </w:r>
      <w:bookmarkEnd w:id="3"/>
      <w:r w:rsidRPr="009D0D31">
        <w:rPr>
          <w:i/>
        </w:rPr>
        <w:instrText xml:space="preserve"> - Raportöör: </w:instrText>
      </w:r>
      <w:proofErr w:type="spellStart"/>
      <w:r w:rsidRPr="009D0D31">
        <w:rPr>
          <w:i/>
        </w:rPr>
        <w:instrText>Siegfried</w:instrText>
      </w:r>
      <w:proofErr w:type="spellEnd"/>
      <w:r w:rsidRPr="009D0D31">
        <w:rPr>
          <w:i/>
        </w:rPr>
        <w:instrText xml:space="preserve"> </w:instrText>
      </w:r>
      <w:proofErr w:type="spellStart"/>
      <w:r w:rsidRPr="009D0D31">
        <w:rPr>
          <w:i/>
        </w:rPr>
        <w:instrText>Mureşan</w:instrText>
      </w:r>
      <w:proofErr w:type="spellEnd"/>
      <w:r w:rsidRPr="009D0D31">
        <w:rPr>
          <w:i/>
        </w:rPr>
        <w:instrText xml:space="preserve">)"\l3 \n&gt; \* MERGEFORMAT </w:instrText>
      </w:r>
      <w:r w:rsidRPr="009D0D31">
        <w:rPr>
          <w:i/>
        </w:rPr>
        <w:fldChar w:fldCharType="end"/>
      </w:r>
    </w:p>
    <w:p w:rsidR="00D90750" w:rsidRPr="009D0D31" w:rsidRDefault="00D90750" w:rsidP="00D90750">
      <w:pPr>
        <w:rPr>
          <w:vanish/>
        </w:rPr>
      </w:pPr>
      <w:bookmarkStart w:id="4" w:name="Commission"/>
      <w:r w:rsidRPr="009D0D31">
        <w:rPr>
          <w:vanish/>
        </w:rPr>
        <w:t>Eelarvekomisjon</w:t>
      </w:r>
      <w:bookmarkEnd w:id="4"/>
    </w:p>
    <w:p w:rsidR="00D90750" w:rsidRPr="009D0D31" w:rsidRDefault="00D90750" w:rsidP="00D90750">
      <w:pPr>
        <w:rPr>
          <w:vanish/>
        </w:rPr>
      </w:pPr>
      <w:bookmarkStart w:id="5" w:name="PE"/>
      <w:r w:rsidRPr="009D0D31">
        <w:rPr>
          <w:vanish/>
        </w:rPr>
        <w:t>PE763.033</w:t>
      </w:r>
      <w:bookmarkEnd w:id="5"/>
    </w:p>
    <w:p w:rsidR="00D90750" w:rsidRPr="009D0D31" w:rsidRDefault="00466CAD" w:rsidP="00466CAD">
      <w:pPr>
        <w:pStyle w:val="ATHeading3"/>
      </w:pPr>
      <w:bookmarkStart w:id="6" w:name="Sujet"/>
      <w:r w:rsidRPr="009D0D31">
        <w:t>Euroopa Parlamendi 22</w:t>
      </w:r>
      <w:r w:rsidR="00D90750" w:rsidRPr="009D0D31">
        <w:t>.</w:t>
      </w:r>
      <w:r w:rsidRPr="009D0D31">
        <w:t> oktoobri 2024. </w:t>
      </w:r>
      <w:r w:rsidR="00D90750" w:rsidRPr="009D0D31">
        <w:t>aasta resolutsioon</w:t>
      </w:r>
      <w:r w:rsidRPr="009D0D31">
        <w:t>,</w:t>
      </w:r>
      <w:r w:rsidR="00D90750" w:rsidRPr="009D0D31">
        <w:t xml:space="preserve"> mis käsitleb nõukogu</w:t>
      </w:r>
      <w:r w:rsidRPr="009D0D31">
        <w:t xml:space="preserve"> seisukohta Euroopa Liidu 2024. </w:t>
      </w:r>
      <w:r w:rsidR="00D90750" w:rsidRPr="009D0D31">
        <w:t>aasta paranduseelarve p</w:t>
      </w:r>
      <w:r w:rsidRPr="009D0D31">
        <w:t>rojekti nr 2/2024 kohta – 2023. </w:t>
      </w:r>
      <w:r w:rsidR="00D90750" w:rsidRPr="009D0D31">
        <w:t>aasta ülejäägi kandmine eelarvesse</w:t>
      </w:r>
      <w:bookmarkEnd w:id="6"/>
      <w:r w:rsidR="00D90750" w:rsidRPr="009D0D31">
        <w:t xml:space="preserve"> </w:t>
      </w:r>
      <w:bookmarkStart w:id="7" w:name="References"/>
      <w:r w:rsidR="00D90750" w:rsidRPr="009D0D31">
        <w:t>(12081/2024 – C10-0107/2024 – 2024/0089(BUD))</w:t>
      </w:r>
      <w:bookmarkEnd w:id="7"/>
    </w:p>
    <w:p w:rsidR="008E4D38" w:rsidRPr="009D0D31" w:rsidRDefault="008E4D38" w:rsidP="008E4D38">
      <w:pPr>
        <w:pStyle w:val="EPComma"/>
      </w:pPr>
      <w:bookmarkStart w:id="8" w:name="TextBodyBegin"/>
      <w:bookmarkEnd w:id="8"/>
      <w:r w:rsidRPr="009D0D31">
        <w:rPr>
          <w:i/>
        </w:rPr>
        <w:t>Euroopa Parlament</w:t>
      </w:r>
      <w:r w:rsidRPr="009D0D31">
        <w:t>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Euroopa L</w:t>
      </w:r>
      <w:r w:rsidR="00466CAD" w:rsidRPr="009D0D31">
        <w:t>iidu toimimise lepingu artiklit </w:t>
      </w:r>
      <w:r w:rsidRPr="009D0D31">
        <w:t>314,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Euroopa Aatomienergiaüh</w:t>
      </w:r>
      <w:r w:rsidR="00466CAD" w:rsidRPr="009D0D31">
        <w:t>enduse asutamislepingu artiklit </w:t>
      </w:r>
      <w:r w:rsidRPr="009D0D31">
        <w:t>106a,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Euroopa Parlamendi ja nõukog</w:t>
      </w:r>
      <w:r w:rsidR="00466CAD" w:rsidRPr="009D0D31">
        <w:t>u 18. juuli 2018. aasta määrust (EL, Euratom) </w:t>
      </w:r>
      <w:r w:rsidRPr="009D0D31">
        <w:t xml:space="preserve">2018/1046 (mis käsitleb liidu </w:t>
      </w:r>
      <w:proofErr w:type="spellStart"/>
      <w:r w:rsidRPr="009D0D31">
        <w:t>üldeelarve</w:t>
      </w:r>
      <w:proofErr w:type="spellEnd"/>
      <w:r w:rsidRPr="009D0D31">
        <w:t xml:space="preserve"> suhtes kohaldatavaid finantsreegleid ja </w:t>
      </w:r>
      <w:r w:rsidR="00466CAD" w:rsidRPr="009D0D31">
        <w:t>millega muudetakse määrusi (EL) nr 1296/2013, (EL) nr 1301/2013, (EL) nr 1303/2013, (EL) nr 1304/2013, (EL) nr 1309/2013, (EL) </w:t>
      </w:r>
      <w:r w:rsidRPr="009D0D31">
        <w:t>nr</w:t>
      </w:r>
      <w:r w:rsidR="00466CAD" w:rsidRPr="009D0D31">
        <w:t> 1316/2013, (EL) nr 223/2014 ja (EL) nr 283/2014 ja otsust nr </w:t>
      </w:r>
      <w:r w:rsidRPr="009D0D31">
        <w:t>541/2014/EL ning tunn</w:t>
      </w:r>
      <w:r w:rsidR="00466CAD" w:rsidRPr="009D0D31">
        <w:t>istatakse kehtetuks määrus (EL, Euratom) nr </w:t>
      </w:r>
      <w:r w:rsidRPr="009D0D31">
        <w:t>966/2012)</w:t>
      </w:r>
      <w:r w:rsidRPr="009D0D31">
        <w:rPr>
          <w:rStyle w:val="FootnoteReference"/>
        </w:rPr>
        <w:footnoteReference w:id="1"/>
      </w:r>
      <w:r w:rsidR="00466CAD" w:rsidRPr="009D0D31">
        <w:t>, eriti selle artiklit </w:t>
      </w:r>
      <w:r w:rsidRPr="009D0D31">
        <w:t>44,</w:t>
      </w:r>
    </w:p>
    <w:p w:rsidR="00466CAD" w:rsidRPr="009D0D31" w:rsidRDefault="00466CAD" w:rsidP="008E4D38">
      <w:pPr>
        <w:pStyle w:val="NormalHanging12a"/>
      </w:pPr>
      <w:r w:rsidRPr="009D0D31">
        <w:t>–</w:t>
      </w:r>
      <w:r w:rsidRPr="009D0D31">
        <w:tab/>
        <w:t xml:space="preserve">võttes arvesse Euroopa Parlamendi ja nõukogu 23. septembri 2024. aasta määrust (EL, Euratom) 2024/2509, mis käsitleb liidu </w:t>
      </w:r>
      <w:proofErr w:type="spellStart"/>
      <w:r w:rsidRPr="009D0D31">
        <w:t>üldeelarve</w:t>
      </w:r>
      <w:proofErr w:type="spellEnd"/>
      <w:r w:rsidRPr="009D0D31">
        <w:t xml:space="preserve"> suhtes kohaldatavaid finantsreegleid</w:t>
      </w:r>
      <w:r w:rsidR="00D85DB2" w:rsidRPr="009D0D31">
        <w:rPr>
          <w:rStyle w:val="FootnoteReference"/>
        </w:rPr>
        <w:footnoteReference w:id="2"/>
      </w:r>
      <w:r w:rsidRPr="009D0D31">
        <w:t>, eriti selle artiklit 44,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</w:t>
      </w:r>
      <w:r w:rsidR="00466CAD" w:rsidRPr="009D0D31">
        <w:t>tes arvesse Euroopa Liidu 2024. </w:t>
      </w:r>
      <w:r w:rsidRPr="009D0D31">
        <w:t xml:space="preserve">aasta </w:t>
      </w:r>
      <w:proofErr w:type="spellStart"/>
      <w:r w:rsidRPr="009D0D31">
        <w:t>üldeelarvet</w:t>
      </w:r>
      <w:proofErr w:type="spellEnd"/>
      <w:r w:rsidR="00466CAD" w:rsidRPr="009D0D31">
        <w:t>, mis võeti lõplikult vastu 22. novembril</w:t>
      </w:r>
      <w:r w:rsidR="009D0D31" w:rsidRPr="009D0D31">
        <w:t> </w:t>
      </w:r>
      <w:r w:rsidR="00466CAD" w:rsidRPr="009D0D31">
        <w:t>2023</w:t>
      </w:r>
      <w:r w:rsidRPr="009D0D31">
        <w:rPr>
          <w:rStyle w:val="FootnoteReference"/>
        </w:rPr>
        <w:footnoteReference w:id="3"/>
      </w:r>
      <w:r w:rsidRPr="009D0D31">
        <w:t>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nõukogu 17. detsembri 2020. aasta määrust (EL, Euratom) 2020/2093, millega määratakse kindlaks mitmeaastane finantsraamistik aastateks 2021–2027</w:t>
      </w:r>
      <w:r w:rsidRPr="009D0D31">
        <w:rPr>
          <w:rStyle w:val="FootnoteReference"/>
        </w:rPr>
        <w:footnoteReference w:id="4"/>
      </w:r>
      <w:r w:rsidRPr="009D0D31">
        <w:t>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 xml:space="preserve">võttes arvesse 16. detsembri 2020. aasta </w:t>
      </w:r>
      <w:proofErr w:type="spellStart"/>
      <w:r w:rsidRPr="009D0D31">
        <w:t>institutsioonidevahelist</w:t>
      </w:r>
      <w:proofErr w:type="spellEnd"/>
      <w:r w:rsidRPr="009D0D31">
        <w:t xml:space="preserve"> kokkulepet Euroopa </w:t>
      </w:r>
      <w:r w:rsidRPr="009D0D31">
        <w:lastRenderedPageBreak/>
        <w:t>Parlamendi, Euroopa Liidu Nõukogu ja Euroopa Komisjoni vahel, mis käsitleb eelarvedistsipliini, eelarvealast koostööd ning usaldusväärset finantsjuhtimist, samuti uusi omavahendeid, sealhulgas uute omavahendite kasutuselevõtmise suunas liikumise tegevuskava</w:t>
      </w:r>
      <w:r w:rsidRPr="009D0D31">
        <w:rPr>
          <w:rStyle w:val="FootnoteReference"/>
        </w:rPr>
        <w:footnoteReference w:id="5"/>
      </w:r>
      <w:r w:rsidRPr="009D0D31">
        <w:t>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nõukogu 14. detsembri 2020. aasta otsust (EL, Euratom) 2020/2053, mis käsitleb Euroopa Liidu omavahendite süsteemi ning milleg</w:t>
      </w:r>
      <w:r w:rsidR="00466CAD" w:rsidRPr="009D0D31">
        <w:t xml:space="preserve">a tunnistatakse kehtetuks otsus </w:t>
      </w:r>
      <w:r w:rsidRPr="009D0D31">
        <w:t>2014/335/EL, Euratom</w:t>
      </w:r>
      <w:r w:rsidRPr="009D0D31">
        <w:rPr>
          <w:rStyle w:val="FootnoteReference"/>
        </w:rPr>
        <w:footnoteReference w:id="6"/>
      </w:r>
      <w:r w:rsidRPr="009D0D31">
        <w:t>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 paranduseelarve projekti nr 2/2024, mille komisjon võttis vastu 9. aprillil 2024 (COM(2024)0920),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</w:t>
      </w:r>
      <w:r w:rsidR="00466CAD" w:rsidRPr="009D0D31">
        <w:t>es arvesse 13. septembril</w:t>
      </w:r>
      <w:r w:rsidR="009D0D31" w:rsidRPr="009D0D31">
        <w:t> </w:t>
      </w:r>
      <w:r w:rsidR="00466CAD" w:rsidRPr="009D0D31">
        <w:t xml:space="preserve">2024 </w:t>
      </w:r>
      <w:r w:rsidRPr="009D0D31">
        <w:t>vastu</w:t>
      </w:r>
      <w:r w:rsidR="00466CAD" w:rsidRPr="009D0D31">
        <w:t xml:space="preserve"> võetud ja 16. septembril</w:t>
      </w:r>
      <w:r w:rsidR="009D0D31" w:rsidRPr="009D0D31">
        <w:t> </w:t>
      </w:r>
      <w:r w:rsidR="00466CAD" w:rsidRPr="009D0D31">
        <w:t>2024</w:t>
      </w:r>
      <w:r w:rsidRPr="009D0D31">
        <w:t xml:space="preserve"> Euroopa Parlamendile edastatud nõukogu seisuko</w:t>
      </w:r>
      <w:r w:rsidR="00466CAD" w:rsidRPr="009D0D31">
        <w:t>hta paranduseelarve projekti nr </w:t>
      </w:r>
      <w:r w:rsidRPr="009D0D31">
        <w:t>2/2024 kohta (12081/2024 – C10</w:t>
      </w:r>
      <w:r w:rsidRPr="009D0D31">
        <w:noBreakHyphen/>
        <w:t>0107/2024),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</w:t>
      </w:r>
      <w:r w:rsidR="00466CAD" w:rsidRPr="009D0D31">
        <w:t>tes arvesse kodukorra artikleid 96 ja 98,</w:t>
      </w:r>
    </w:p>
    <w:p w:rsidR="008E4D38" w:rsidRPr="009D0D31" w:rsidRDefault="008E4D38" w:rsidP="008E4D38">
      <w:pPr>
        <w:pStyle w:val="NormalHanging12a"/>
      </w:pPr>
      <w:r w:rsidRPr="009D0D31">
        <w:t>–</w:t>
      </w:r>
      <w:r w:rsidRPr="009D0D31">
        <w:tab/>
        <w:t>võttes arvesse</w:t>
      </w:r>
      <w:r w:rsidR="00466CAD" w:rsidRPr="009D0D31">
        <w:t xml:space="preserve"> eelarvekomisjoni raportit (A10</w:t>
      </w:r>
      <w:r w:rsidR="00466CAD" w:rsidRPr="009D0D31">
        <w:noBreakHyphen/>
      </w:r>
      <w:r w:rsidRPr="009D0D31">
        <w:t>0005/2024),</w:t>
      </w:r>
    </w:p>
    <w:p w:rsidR="008E4D38" w:rsidRPr="009D0D31" w:rsidRDefault="008E4D38" w:rsidP="008E4D38">
      <w:pPr>
        <w:pStyle w:val="NormalHanging12a"/>
      </w:pPr>
      <w:r w:rsidRPr="009D0D31">
        <w:t>A.</w:t>
      </w:r>
      <w:r w:rsidRPr="009D0D31">
        <w:tab/>
        <w:t xml:space="preserve">arvestades, et paranduseelarve projekti nr 2/2024 eesmärk on kanda 2024. aasta eelarvesse 2023. aasta ülejääk </w:t>
      </w:r>
      <w:r w:rsidR="00466CAD" w:rsidRPr="009D0D31">
        <w:t>summas 633 </w:t>
      </w:r>
      <w:r w:rsidRPr="009D0D31">
        <w:t>miljonit eurot;</w:t>
      </w:r>
    </w:p>
    <w:p w:rsidR="008E4D38" w:rsidRPr="009D0D31" w:rsidRDefault="008E4D38" w:rsidP="008E4D38">
      <w:pPr>
        <w:pStyle w:val="NormalHanging12a"/>
      </w:pPr>
      <w:r w:rsidRPr="009D0D31">
        <w:t>B.</w:t>
      </w:r>
      <w:r w:rsidRPr="009D0D31">
        <w:tab/>
        <w:t>arvestades, et selle ülejäägi põhielemendid on</w:t>
      </w:r>
      <w:r w:rsidR="00466CAD" w:rsidRPr="009D0D31">
        <w:t xml:space="preserve"> tulude positiivne saldo (238,7 </w:t>
      </w:r>
      <w:r w:rsidRPr="009D0D31">
        <w:t>miljonit eurot) ja kavandatust väiksemad kulud (393,9 miljonit eurot);</w:t>
      </w:r>
    </w:p>
    <w:p w:rsidR="008E4D38" w:rsidRPr="009D0D31" w:rsidRDefault="008E4D38" w:rsidP="008E4D38">
      <w:pPr>
        <w:pStyle w:val="NormalHanging12a"/>
      </w:pPr>
      <w:r w:rsidRPr="009D0D31">
        <w:t>C.</w:t>
      </w:r>
      <w:r w:rsidRPr="009D0D31">
        <w:tab/>
        <w:t>arvestades, et tulude poolel on ülejääg</w:t>
      </w:r>
      <w:r w:rsidR="00466CAD" w:rsidRPr="009D0D31">
        <w:t>i mahu peamiseks põhjuseks 1766 </w:t>
      </w:r>
      <w:r w:rsidRPr="009D0D31">
        <w:t xml:space="preserve">miljonit eurot finantstulusid, viivist ja trahve, </w:t>
      </w:r>
      <w:r w:rsidR="00466CAD" w:rsidRPr="009D0D31">
        <w:t>kuid tollimaksud küündisid 1649 </w:t>
      </w:r>
      <w:r w:rsidRPr="009D0D31">
        <w:t>miljoni euroni, mis on oodatust vä</w:t>
      </w:r>
      <w:r w:rsidR="00466CAD" w:rsidRPr="009D0D31">
        <w:t>iksem summa; arvestades, et 107 </w:t>
      </w:r>
      <w:r w:rsidRPr="009D0D31">
        <w:t>miljoni euro suurune haldustulu ülejääk tuleneb peamiselt prognoositust kõrgemast pensionimaksete määrast ja 20</w:t>
      </w:r>
      <w:r w:rsidR="00466CAD" w:rsidRPr="009D0D31">
        <w:t>23. </w:t>
      </w:r>
      <w:r w:rsidRPr="009D0D31">
        <w:t>aasta jaanuaris töötasude vahepealse ajakohastamise kohaldamisest, mis suurendas maksude ja lõivude ning pensionimaksete taset;</w:t>
      </w:r>
    </w:p>
    <w:p w:rsidR="008E4D38" w:rsidRPr="009D0D31" w:rsidRDefault="008E4D38" w:rsidP="008E4D38">
      <w:pPr>
        <w:pStyle w:val="NormalHanging12a"/>
      </w:pPr>
      <w:r w:rsidRPr="009D0D31">
        <w:t>D.</w:t>
      </w:r>
      <w:r w:rsidRPr="009D0D31">
        <w:tab/>
        <w:t xml:space="preserve">arvestades, et kulude poolel tegi komisjon 2022. aastal vähem </w:t>
      </w:r>
      <w:r w:rsidR="0085190F" w:rsidRPr="009D0D31">
        <w:t xml:space="preserve">makseid </w:t>
      </w:r>
      <w:r w:rsidRPr="009D0D31">
        <w:t>kokku 70 miljonit eurot (0,1</w:t>
      </w:r>
      <w:r w:rsidR="00466CAD" w:rsidRPr="009D0D31">
        <w:t> </w:t>
      </w:r>
      <w:r w:rsidRPr="009D0D31">
        <w:t>% heakskiidetud maksete assigneeringutest); arvestades, et teise</w:t>
      </w:r>
      <w:r w:rsidR="00466CAD" w:rsidRPr="009D0D31">
        <w:t>d institutsioonid tühistasid 48 </w:t>
      </w:r>
      <w:r w:rsidRPr="009D0D31">
        <w:t xml:space="preserve">miljoni euro ulatuses </w:t>
      </w:r>
      <w:r w:rsidR="00466CAD" w:rsidRPr="009D0D31">
        <w:t>makseid, säilitades seega 2022. </w:t>
      </w:r>
      <w:r w:rsidRPr="009D0D31">
        <w:t>aasta eelarve madala alakasutamise määra;</w:t>
      </w:r>
    </w:p>
    <w:p w:rsidR="008E4D38" w:rsidRPr="009D0D31" w:rsidRDefault="008E4D38" w:rsidP="00466CAD">
      <w:pPr>
        <w:pStyle w:val="NormalHanging12a"/>
      </w:pPr>
      <w:r w:rsidRPr="009D0D31">
        <w:t>E.</w:t>
      </w:r>
      <w:r w:rsidRPr="009D0D31">
        <w:tab/>
        <w:t>arvestades,</w:t>
      </w:r>
      <w:r w:rsidR="00466CAD" w:rsidRPr="009D0D31">
        <w:t xml:space="preserve"> et paranduseelarve projekti nr </w:t>
      </w:r>
      <w:r w:rsidRPr="009D0D31">
        <w:t>2/2024 kohaselt on Saksamaa, Madalmaade, Taani, Rootsi ja Austria kogurahvatulul põhinevate maksete kindlasummaliste vähenduste netosumma</w:t>
      </w:r>
      <w:r w:rsidR="00466CAD" w:rsidRPr="009D0D31">
        <w:t xml:space="preserve"> ligikaudu 5,4 miljardit eurot;</w:t>
      </w:r>
    </w:p>
    <w:p w:rsidR="008E4D38" w:rsidRPr="009D0D31" w:rsidRDefault="008E4D38" w:rsidP="00466CAD">
      <w:pPr>
        <w:pStyle w:val="NormalHanging12a"/>
      </w:pPr>
      <w:r w:rsidRPr="009D0D31">
        <w:t>F.</w:t>
      </w:r>
      <w:r w:rsidRPr="009D0D31">
        <w:tab/>
        <w:t xml:space="preserve">arvestades, et liidu eelarve varud ja paindlikkus on endiselt väga piiratud, hoolimata mitmeaastase finantsraamistiku läbivaatamisest ja uue NGEU rahastamisvahendi kasutuselevõtust, et tagada Euroopa Liidu taasterahastu suuremad laenukulud, mis on oma olemuselt </w:t>
      </w:r>
      <w:proofErr w:type="spellStart"/>
      <w:r w:rsidRPr="009D0D31">
        <w:t>volatiilsed</w:t>
      </w:r>
      <w:proofErr w:type="spellEnd"/>
      <w:r w:rsidRPr="009D0D31">
        <w:t>, põhjustades eelarves ebakindlust; arvestades, et selles keerulises olukorras suurenevad eelarvevajadused;</w:t>
      </w:r>
    </w:p>
    <w:p w:rsidR="008E4D38" w:rsidRPr="009D0D31" w:rsidRDefault="008E4D38" w:rsidP="008E4D38">
      <w:pPr>
        <w:pStyle w:val="NormalHanging12a"/>
      </w:pPr>
      <w:r w:rsidRPr="009D0D31">
        <w:lastRenderedPageBreak/>
        <w:t>1.</w:t>
      </w:r>
      <w:r w:rsidRPr="009D0D31">
        <w:tab/>
        <w:t>võtab teadmiseks komisjoni esitatud paranduseelarve projekti nr 2/2024, mis on mõeldud 2023. aasta üle</w:t>
      </w:r>
      <w:r w:rsidR="00466CAD" w:rsidRPr="009D0D31">
        <w:t>jäägi eelarvesse kandmiseks 633 </w:t>
      </w:r>
      <w:r w:rsidRPr="009D0D31">
        <w:t>miljoni euro suuruses summas vastavalt finantsmääruse artikli 18 lõikele 3;</w:t>
      </w:r>
    </w:p>
    <w:p w:rsidR="008E4D38" w:rsidRPr="009D0D31" w:rsidRDefault="008E4D38" w:rsidP="008E4D38">
      <w:pPr>
        <w:pStyle w:val="NormalHanging12a"/>
      </w:pPr>
      <w:r w:rsidRPr="009D0D31">
        <w:t>2.</w:t>
      </w:r>
      <w:r w:rsidRPr="009D0D31">
        <w:tab/>
        <w:t>väljendab heameelt asjaolu üle, et 20</w:t>
      </w:r>
      <w:r w:rsidR="00466CAD" w:rsidRPr="009D0D31">
        <w:t>23. </w:t>
      </w:r>
      <w:r w:rsidRPr="009D0D31">
        <w:t>aasta ülejääk on mär</w:t>
      </w:r>
      <w:r w:rsidR="00466CAD" w:rsidRPr="009D0D31">
        <w:t>kimisväärselt väiksem kui 2022. </w:t>
      </w:r>
      <w:r w:rsidRPr="009D0D31">
        <w:t xml:space="preserve">aasta ülejääk, mis osutab eelarve paremale prognoosimisele </w:t>
      </w:r>
      <w:r w:rsidR="00466CAD" w:rsidRPr="009D0D31">
        <w:t>ja haldamisele komisjoni poolt;</w:t>
      </w:r>
    </w:p>
    <w:p w:rsidR="008E4D38" w:rsidRPr="009D0D31" w:rsidRDefault="008E4D38" w:rsidP="008E4D38">
      <w:pPr>
        <w:pStyle w:val="NormalHanging12a"/>
      </w:pPr>
      <w:r w:rsidRPr="009D0D31">
        <w:t>3.</w:t>
      </w:r>
      <w:r w:rsidRPr="009D0D31">
        <w:tab/>
        <w:t xml:space="preserve">rõhutab, et ülejääk vähendab </w:t>
      </w:r>
      <w:r w:rsidR="00466CAD" w:rsidRPr="009D0D31">
        <w:t>liikmesriikide kogupanust 2024. </w:t>
      </w:r>
      <w:r w:rsidRPr="009D0D31">
        <w:t>aasta eelarve rahastamisse ajal, mil rahastamisvajadused on endiselt suured ja ruum liidu eelarves äärmiselt piiratud; rõhutab, et eelarve peab säilitama piisava paindlikkuse, et võimaldada liidul tulla toime ettenägematute sündmuste ja uute esilekerkivate prioriteetidega;</w:t>
      </w:r>
    </w:p>
    <w:p w:rsidR="008E4D38" w:rsidRPr="009D0D31" w:rsidRDefault="008E4D38" w:rsidP="008E4D38">
      <w:pPr>
        <w:pStyle w:val="NormalHanging12a"/>
      </w:pPr>
      <w:r w:rsidRPr="009D0D31">
        <w:t>4.</w:t>
      </w:r>
      <w:r w:rsidRPr="009D0D31">
        <w:tab/>
        <w:t>tuletab meelde oma pikaajalist seisukohta, et trahve ja tasusid tuleks kasutada liidu eelarve lisatuluna ning need ei tohiks kaasa tuua kogurahvatulul põhinevate maksete vähendamist;</w:t>
      </w:r>
    </w:p>
    <w:p w:rsidR="008E4D38" w:rsidRPr="009D0D31" w:rsidRDefault="008E4D38" w:rsidP="008E4D38">
      <w:pPr>
        <w:widowControl/>
        <w:spacing w:before="120" w:after="120"/>
        <w:ind w:left="567" w:hanging="567"/>
      </w:pPr>
      <w:r w:rsidRPr="009D0D31">
        <w:t>5.</w:t>
      </w:r>
      <w:r w:rsidRPr="009D0D31">
        <w:tab/>
        <w:t>võtab teadmiseks viie toetust saava liikmesriigi kogurahvatulul põhinevate maksete kindlasummalised vähendused, m</w:t>
      </w:r>
      <w:r w:rsidR="00466CAD" w:rsidRPr="009D0D31">
        <w:t>ille netosumma on ligikaudu 5,4 </w:t>
      </w:r>
      <w:r w:rsidRPr="009D0D31">
        <w:t xml:space="preserve">miljardit eurot; rõhutab asjaolu, et need tagasimaksed on inflatsiooniga seotud ja on seetõttu suurenenud rohkem kui mitmeaastase finantsraamistiku ülemmäärad, mida kohandatakse igal aastal 2 % </w:t>
      </w:r>
      <w:proofErr w:type="spellStart"/>
      <w:r w:rsidRPr="009D0D31">
        <w:t>deflaatori</w:t>
      </w:r>
      <w:proofErr w:type="spellEnd"/>
      <w:r w:rsidRPr="009D0D31">
        <w:t xml:space="preserve"> alusel; rõhutab, et see kõrvalekalle suurendab teiste liikmesriikide koormust;</w:t>
      </w:r>
    </w:p>
    <w:p w:rsidR="008E4D38" w:rsidRPr="009D0D31" w:rsidRDefault="008E4D38" w:rsidP="008E4D38">
      <w:pPr>
        <w:pStyle w:val="NormalHanging12a"/>
        <w:rPr>
          <w:szCs w:val="24"/>
        </w:rPr>
      </w:pPr>
      <w:r w:rsidRPr="009D0D31">
        <w:t>6.</w:t>
      </w:r>
      <w:r w:rsidRPr="009D0D31">
        <w:tab/>
        <w:t xml:space="preserve">rõhutab, et liidu eelarve jaoks on vaja jätkusuutlikku tulu: peab seetõttu kahetsusväärseks, et nõukogu ei ole teinud edusamme omavahendite süsteemi reformimisel </w:t>
      </w:r>
      <w:r w:rsidRPr="009D0D31">
        <w:rPr>
          <w:color w:val="1E1E1F"/>
          <w:shd w:val="clear" w:color="auto" w:fill="FFFFFF"/>
        </w:rPr>
        <w:t xml:space="preserve">kooskõlas </w:t>
      </w:r>
      <w:proofErr w:type="spellStart"/>
      <w:r w:rsidRPr="009D0D31">
        <w:rPr>
          <w:color w:val="1E1E1F"/>
          <w:shd w:val="clear" w:color="auto" w:fill="FFFFFF"/>
        </w:rPr>
        <w:t>institutsioonidevahelise</w:t>
      </w:r>
      <w:proofErr w:type="spellEnd"/>
      <w:r w:rsidRPr="009D0D31">
        <w:rPr>
          <w:color w:val="1E1E1F"/>
          <w:shd w:val="clear" w:color="auto" w:fill="FFFFFF"/>
        </w:rPr>
        <w:t xml:space="preserve"> kokkuleppe tegevuskavaga</w:t>
      </w:r>
      <w:r w:rsidRPr="009D0D31">
        <w:t>;</w:t>
      </w:r>
      <w:r w:rsidRPr="009D0D31">
        <w:rPr>
          <w:color w:val="1E1E1F"/>
          <w:shd w:val="clear" w:color="auto" w:fill="FFFFFF"/>
        </w:rPr>
        <w:t xml:space="preserve"> </w:t>
      </w:r>
      <w:r w:rsidRPr="009D0D31">
        <w:t>tuletab meelde oma seisukohta, mis toetab komisjoni muudetud ettepanekuid, ning nõuab tungivalt, et nõukogu võtaks need ettepanekud kiiresti vastu, et suurendada liidu eelarve jaoks kättesaadavaid omavahendeid;</w:t>
      </w:r>
    </w:p>
    <w:p w:rsidR="008E4D38" w:rsidRPr="009D0D31" w:rsidRDefault="008E4D38" w:rsidP="008E4D38">
      <w:pPr>
        <w:pStyle w:val="NormalHanging12a"/>
      </w:pPr>
      <w:r w:rsidRPr="009D0D31">
        <w:t>7.</w:t>
      </w:r>
      <w:r w:rsidRPr="009D0D31">
        <w:tab/>
        <w:t>kiidab nõukogu seisukoha paranduseelarve projekti nr 2/2024 kohta heaks;</w:t>
      </w:r>
    </w:p>
    <w:p w:rsidR="008E4D38" w:rsidRPr="009D0D31" w:rsidRDefault="008E4D38" w:rsidP="008E4D38">
      <w:pPr>
        <w:pStyle w:val="NormalHanging12a"/>
      </w:pPr>
      <w:r w:rsidRPr="009D0D31">
        <w:t>8.</w:t>
      </w:r>
      <w:r w:rsidRPr="009D0D31">
        <w:tab/>
        <w:t>teeb presidendile ülesande</w:t>
      </w:r>
      <w:r w:rsidR="00466CAD" w:rsidRPr="009D0D31">
        <w:t>ks kuulutada paranduseelarve nr 3</w:t>
      </w:r>
      <w:r w:rsidRPr="009D0D31">
        <w:t xml:space="preserve">/2024 lõplikult vastuvõetuks ja korraldada selle avaldamine </w:t>
      </w:r>
      <w:r w:rsidRPr="009D0D31">
        <w:rPr>
          <w:i/>
        </w:rPr>
        <w:t>Euroopa Liidu Teatajas</w:t>
      </w:r>
      <w:r w:rsidRPr="009D0D31">
        <w:t>;</w:t>
      </w:r>
    </w:p>
    <w:p w:rsidR="00E365E1" w:rsidRPr="009D0D31" w:rsidRDefault="008E4D38" w:rsidP="00466CAD">
      <w:pPr>
        <w:pStyle w:val="NormalHanging12a"/>
      </w:pPr>
      <w:r w:rsidRPr="009D0D31">
        <w:t>9.</w:t>
      </w:r>
      <w:r w:rsidRPr="009D0D31">
        <w:tab/>
        <w:t>teeb presidendile ülesandeks edastada käesolev resolutsioon nõukogule, komisjonile, teistele asjaomastele institutsioonidele ja asutustele ning liikmesriikide parlamentidele.</w:t>
      </w:r>
      <w:bookmarkStart w:id="9" w:name="TextBodyEnd"/>
      <w:bookmarkEnd w:id="9"/>
    </w:p>
    <w:sectPr w:rsidR="00E365E1" w:rsidRPr="009D0D31" w:rsidSect="00073F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750" w:rsidRPr="00073F25" w:rsidRDefault="00D90750">
      <w:r w:rsidRPr="00073F25">
        <w:separator/>
      </w:r>
    </w:p>
  </w:endnote>
  <w:endnote w:type="continuationSeparator" w:id="0">
    <w:p w:rsidR="00D90750" w:rsidRPr="00073F25" w:rsidRDefault="00D90750">
      <w:r w:rsidRPr="00073F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750" w:rsidRPr="00073F25" w:rsidRDefault="00D90750">
      <w:r w:rsidRPr="00073F25">
        <w:separator/>
      </w:r>
    </w:p>
  </w:footnote>
  <w:footnote w:type="continuationSeparator" w:id="0">
    <w:p w:rsidR="00D90750" w:rsidRPr="00073F25" w:rsidRDefault="00D90750">
      <w:r w:rsidRPr="00073F25">
        <w:continuationSeparator/>
      </w:r>
    </w:p>
  </w:footnote>
  <w:footnote w:id="1">
    <w:p w:rsidR="008E4D38" w:rsidRPr="00073F25" w:rsidRDefault="008E4D38" w:rsidP="00073F25">
      <w:pPr>
        <w:pStyle w:val="FootnoteText"/>
        <w:ind w:left="567" w:hanging="567"/>
        <w:rPr>
          <w:sz w:val="24"/>
          <w:lang w:val="et-EE"/>
        </w:rPr>
      </w:pPr>
      <w:r w:rsidRPr="00073F25">
        <w:rPr>
          <w:rStyle w:val="FootnoteReference"/>
          <w:sz w:val="24"/>
          <w:lang w:val="et-EE"/>
        </w:rPr>
        <w:footnoteRef/>
      </w:r>
      <w:r w:rsidR="00073F25" w:rsidRPr="00073F25">
        <w:rPr>
          <w:sz w:val="24"/>
          <w:lang w:val="et-EE"/>
        </w:rPr>
        <w:tab/>
      </w:r>
      <w:r w:rsidR="00466CAD">
        <w:rPr>
          <w:sz w:val="24"/>
          <w:lang w:val="et-EE"/>
        </w:rPr>
        <w:t>ELT L 193, 30.7.2018, lk </w:t>
      </w:r>
      <w:r w:rsidRPr="00073F25">
        <w:rPr>
          <w:sz w:val="24"/>
          <w:lang w:val="et-EE"/>
        </w:rPr>
        <w:t>1, ELI:</w:t>
      </w:r>
      <w:r w:rsidR="00466CAD">
        <w:rPr>
          <w:sz w:val="24"/>
          <w:lang w:val="et-EE"/>
        </w:rPr>
        <w:t> </w:t>
      </w:r>
      <w:hyperlink r:id="rId1" w:history="1">
        <w:r w:rsidRPr="00073F25">
          <w:rPr>
            <w:rStyle w:val="Hyperlink"/>
            <w:sz w:val="24"/>
            <w:lang w:val="et-EE"/>
          </w:rPr>
          <w:t>http://data.europa.eu/eli/reg/2018/1046/oj</w:t>
        </w:r>
      </w:hyperlink>
      <w:r w:rsidRPr="00073F25">
        <w:rPr>
          <w:sz w:val="24"/>
          <w:lang w:val="et-EE"/>
        </w:rPr>
        <w:t>.</w:t>
      </w:r>
    </w:p>
  </w:footnote>
  <w:footnote w:id="2">
    <w:p w:rsidR="00D85DB2" w:rsidRPr="009D0D31" w:rsidRDefault="00D85DB2" w:rsidP="009D0D31">
      <w:pPr>
        <w:pStyle w:val="FootnoteText"/>
        <w:ind w:left="567" w:hanging="567"/>
        <w:rPr>
          <w:sz w:val="24"/>
          <w:szCs w:val="24"/>
          <w:lang w:val="fi-FI"/>
        </w:rPr>
      </w:pPr>
      <w:r w:rsidRPr="001770DC">
        <w:rPr>
          <w:rStyle w:val="FootnoteReference"/>
          <w:sz w:val="24"/>
          <w:szCs w:val="24"/>
        </w:rPr>
        <w:footnoteRef/>
      </w:r>
      <w:r w:rsidRPr="009D0D31">
        <w:rPr>
          <w:sz w:val="24"/>
          <w:szCs w:val="24"/>
          <w:lang w:val="fi-FI"/>
        </w:rPr>
        <w:tab/>
        <w:t>ELT</w:t>
      </w:r>
      <w:r w:rsidR="009D0D31">
        <w:rPr>
          <w:sz w:val="24"/>
          <w:szCs w:val="24"/>
          <w:lang w:val="fi-FI"/>
        </w:rPr>
        <w:t> </w:t>
      </w:r>
      <w:r w:rsidRPr="009D0D31">
        <w:rPr>
          <w:sz w:val="24"/>
          <w:szCs w:val="24"/>
          <w:lang w:val="fi-FI"/>
        </w:rPr>
        <w:t>L, 2024/2509, 26.9.2024, ELI:</w:t>
      </w:r>
      <w:r w:rsidR="009D0D31">
        <w:rPr>
          <w:sz w:val="24"/>
          <w:szCs w:val="24"/>
          <w:lang w:val="fi-FI"/>
        </w:rPr>
        <w:t> </w:t>
      </w:r>
      <w:r w:rsidRPr="009D0D31">
        <w:rPr>
          <w:color w:val="221E1F"/>
          <w:sz w:val="24"/>
          <w:szCs w:val="24"/>
          <w:lang w:val="fi-FI"/>
        </w:rPr>
        <w:t>http://data.europa.eu/eli/reg/2024/2509/oj</w:t>
      </w:r>
      <w:r w:rsidRPr="009D0D31">
        <w:rPr>
          <w:sz w:val="24"/>
          <w:szCs w:val="24"/>
          <w:lang w:val="fi-FI"/>
        </w:rPr>
        <w:t>.</w:t>
      </w:r>
    </w:p>
  </w:footnote>
  <w:footnote w:id="3">
    <w:p w:rsidR="008E4D38" w:rsidRPr="00073F25" w:rsidRDefault="008E4D38" w:rsidP="00073F25">
      <w:pPr>
        <w:pStyle w:val="FootnoteText"/>
        <w:ind w:left="567" w:hanging="567"/>
        <w:rPr>
          <w:sz w:val="24"/>
          <w:lang w:val="et-EE"/>
        </w:rPr>
      </w:pPr>
      <w:r w:rsidRPr="00073F25">
        <w:rPr>
          <w:rStyle w:val="FootnoteReference"/>
          <w:sz w:val="24"/>
          <w:lang w:val="et-EE"/>
        </w:rPr>
        <w:footnoteRef/>
      </w:r>
      <w:r w:rsidR="00073F25" w:rsidRPr="00073F25">
        <w:rPr>
          <w:sz w:val="24"/>
          <w:lang w:val="et-EE"/>
        </w:rPr>
        <w:tab/>
      </w:r>
      <w:r w:rsidR="00466CAD">
        <w:rPr>
          <w:sz w:val="24"/>
          <w:lang w:val="et-EE"/>
        </w:rPr>
        <w:t>ELT </w:t>
      </w:r>
      <w:r w:rsidRPr="00073F25">
        <w:rPr>
          <w:sz w:val="24"/>
          <w:lang w:val="et-EE"/>
        </w:rPr>
        <w:t>L, 2024/207, 22.2.2024, ELI:</w:t>
      </w:r>
      <w:r w:rsidR="00466CAD">
        <w:rPr>
          <w:sz w:val="24"/>
          <w:lang w:val="et-EE"/>
        </w:rPr>
        <w:t> </w:t>
      </w:r>
      <w:hyperlink r:id="rId2" w:history="1">
        <w:r w:rsidRPr="00073F25">
          <w:rPr>
            <w:rStyle w:val="Hyperlink"/>
            <w:sz w:val="24"/>
            <w:lang w:val="et-EE"/>
          </w:rPr>
          <w:t>http://data.europa.eu/eli/budget/2024/207/oj</w:t>
        </w:r>
      </w:hyperlink>
      <w:r w:rsidRPr="00073F25">
        <w:rPr>
          <w:sz w:val="24"/>
          <w:lang w:val="et-EE"/>
        </w:rPr>
        <w:t>.</w:t>
      </w:r>
    </w:p>
  </w:footnote>
  <w:footnote w:id="4">
    <w:p w:rsidR="008E4D38" w:rsidRPr="00073F25" w:rsidRDefault="008E4D38" w:rsidP="00073F25">
      <w:pPr>
        <w:pStyle w:val="FootnoteText"/>
        <w:ind w:left="567" w:hanging="567"/>
        <w:rPr>
          <w:sz w:val="24"/>
          <w:lang w:val="et-EE"/>
        </w:rPr>
      </w:pPr>
      <w:r w:rsidRPr="00073F25">
        <w:rPr>
          <w:rStyle w:val="FootnoteReference"/>
          <w:sz w:val="24"/>
          <w:lang w:val="et-EE"/>
        </w:rPr>
        <w:footnoteRef/>
      </w:r>
      <w:r w:rsidR="00073F25" w:rsidRPr="00073F25">
        <w:rPr>
          <w:sz w:val="24"/>
          <w:lang w:val="et-EE"/>
        </w:rPr>
        <w:tab/>
      </w:r>
      <w:r w:rsidR="00466CAD">
        <w:rPr>
          <w:sz w:val="24"/>
          <w:lang w:val="et-EE"/>
        </w:rPr>
        <w:t>ELT L </w:t>
      </w:r>
      <w:r w:rsidRPr="00073F25">
        <w:rPr>
          <w:sz w:val="24"/>
          <w:lang w:val="et-EE"/>
        </w:rPr>
        <w:t>433 I, 22.12.2020, lk 11, ELI:</w:t>
      </w:r>
      <w:r w:rsidR="00466CAD">
        <w:rPr>
          <w:sz w:val="24"/>
          <w:lang w:val="et-EE"/>
        </w:rPr>
        <w:t> </w:t>
      </w:r>
      <w:hyperlink r:id="rId3" w:history="1">
        <w:r w:rsidRPr="00073F25">
          <w:rPr>
            <w:rStyle w:val="Hyperlink"/>
            <w:sz w:val="24"/>
            <w:lang w:val="et-EE"/>
          </w:rPr>
          <w:t>http://data.europa.eu/eli/reg/2020/2093/oj</w:t>
        </w:r>
      </w:hyperlink>
      <w:r w:rsidRPr="00073F25">
        <w:rPr>
          <w:sz w:val="24"/>
          <w:lang w:val="et-EE"/>
        </w:rPr>
        <w:t>.</w:t>
      </w:r>
    </w:p>
  </w:footnote>
  <w:footnote w:id="5">
    <w:p w:rsidR="008E4D38" w:rsidRPr="00073F25" w:rsidRDefault="008E4D38" w:rsidP="00073F25">
      <w:pPr>
        <w:pStyle w:val="FootnoteText"/>
        <w:ind w:left="567" w:hanging="567"/>
        <w:rPr>
          <w:sz w:val="24"/>
          <w:lang w:val="et-EE"/>
        </w:rPr>
      </w:pPr>
      <w:r w:rsidRPr="00073F25">
        <w:rPr>
          <w:rStyle w:val="FootnoteReference"/>
          <w:sz w:val="24"/>
          <w:lang w:val="et-EE"/>
        </w:rPr>
        <w:footnoteRef/>
      </w:r>
      <w:r w:rsidR="00073F25" w:rsidRPr="00073F25">
        <w:rPr>
          <w:sz w:val="24"/>
          <w:lang w:val="et-EE"/>
        </w:rPr>
        <w:tab/>
      </w:r>
      <w:r w:rsidR="00E05693">
        <w:rPr>
          <w:sz w:val="24"/>
          <w:lang w:val="et-EE"/>
        </w:rPr>
        <w:t>ELT</w:t>
      </w:r>
      <w:r w:rsidR="00466CAD">
        <w:rPr>
          <w:sz w:val="24"/>
          <w:lang w:val="et-EE"/>
        </w:rPr>
        <w:t> L 433 I, 22.12.2020, lk </w:t>
      </w:r>
      <w:r w:rsidRPr="00073F25">
        <w:rPr>
          <w:sz w:val="24"/>
          <w:lang w:val="et-EE"/>
        </w:rPr>
        <w:t>28, ELI:</w:t>
      </w:r>
      <w:r w:rsidR="00466CAD">
        <w:rPr>
          <w:sz w:val="24"/>
          <w:lang w:val="et-EE"/>
        </w:rPr>
        <w:t> </w:t>
      </w:r>
      <w:hyperlink r:id="rId4" w:history="1">
        <w:r w:rsidRPr="00073F25">
          <w:rPr>
            <w:rStyle w:val="Hyperlink"/>
            <w:sz w:val="24"/>
            <w:lang w:val="et-EE"/>
          </w:rPr>
          <w:t>http://data.europa.eu/eli/agree_interinstit/2020/1222/oj</w:t>
        </w:r>
      </w:hyperlink>
      <w:r w:rsidRPr="00073F25">
        <w:rPr>
          <w:sz w:val="24"/>
          <w:lang w:val="et-EE"/>
        </w:rPr>
        <w:t>.</w:t>
      </w:r>
    </w:p>
  </w:footnote>
  <w:footnote w:id="6">
    <w:p w:rsidR="008E4D38" w:rsidRPr="00073F25" w:rsidRDefault="008E4D38" w:rsidP="00073F25">
      <w:pPr>
        <w:pStyle w:val="FootnoteText"/>
        <w:ind w:left="567" w:hanging="567"/>
        <w:rPr>
          <w:sz w:val="24"/>
          <w:lang w:val="et-EE"/>
        </w:rPr>
      </w:pPr>
      <w:r w:rsidRPr="00073F25">
        <w:rPr>
          <w:rStyle w:val="FootnoteReference"/>
          <w:sz w:val="24"/>
          <w:lang w:val="et-EE"/>
        </w:rPr>
        <w:footnoteRef/>
      </w:r>
      <w:r w:rsidR="00073F25" w:rsidRPr="00073F25">
        <w:rPr>
          <w:sz w:val="24"/>
          <w:lang w:val="et-EE"/>
        </w:rPr>
        <w:tab/>
      </w:r>
      <w:r w:rsidR="00466CAD">
        <w:rPr>
          <w:sz w:val="24"/>
          <w:lang w:val="et-EE"/>
        </w:rPr>
        <w:t>ELT L 424, 15.12.2020, lk </w:t>
      </w:r>
      <w:r w:rsidRPr="00073F25">
        <w:rPr>
          <w:sz w:val="24"/>
          <w:lang w:val="et-EE"/>
        </w:rPr>
        <w:t>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3F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ET"/>
    <w:docVar w:name="dvnumam" w:val="0"/>
    <w:docVar w:name="dvpe" w:val="763.033"/>
    <w:docVar w:name="dvrapporteur" w:val="Raportöör: "/>
    <w:docVar w:name="dvtitre" w:val="Euroopa Parlamendi .... 2024. aasta resolutsioon mis käsitleb nõukogu seisukohta Euroopa Liidu 2024. aasta paranduseelarve projekti nr 2/2024 kohta – 2023. aasta ülejäägi kandmine eelarvesse(12081/2024 – C10-0107/2024 – 2024/0089(BUD))"/>
  </w:docVars>
  <w:rsids>
    <w:rsidRoot w:val="00D90750"/>
    <w:rsid w:val="00002272"/>
    <w:rsid w:val="00064002"/>
    <w:rsid w:val="000677B9"/>
    <w:rsid w:val="00073F25"/>
    <w:rsid w:val="000831BA"/>
    <w:rsid w:val="000A42CC"/>
    <w:rsid w:val="000E7DD9"/>
    <w:rsid w:val="0010095E"/>
    <w:rsid w:val="00125B37"/>
    <w:rsid w:val="00187494"/>
    <w:rsid w:val="001F32AE"/>
    <w:rsid w:val="002767FF"/>
    <w:rsid w:val="00290588"/>
    <w:rsid w:val="002B18FE"/>
    <w:rsid w:val="002B5493"/>
    <w:rsid w:val="00336B03"/>
    <w:rsid w:val="00343214"/>
    <w:rsid w:val="00361C00"/>
    <w:rsid w:val="00395FA1"/>
    <w:rsid w:val="003E15D4"/>
    <w:rsid w:val="00411CCE"/>
    <w:rsid w:val="0041666E"/>
    <w:rsid w:val="00421060"/>
    <w:rsid w:val="00466CA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90F"/>
    <w:rsid w:val="00865F67"/>
    <w:rsid w:val="00881A7B"/>
    <w:rsid w:val="008840E5"/>
    <w:rsid w:val="00887B3E"/>
    <w:rsid w:val="008C2AC6"/>
    <w:rsid w:val="008E4D38"/>
    <w:rsid w:val="009262AF"/>
    <w:rsid w:val="00930C23"/>
    <w:rsid w:val="0093193B"/>
    <w:rsid w:val="009509D8"/>
    <w:rsid w:val="00950B64"/>
    <w:rsid w:val="00981893"/>
    <w:rsid w:val="009D0D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DB2"/>
    <w:rsid w:val="00D872DF"/>
    <w:rsid w:val="00D90750"/>
    <w:rsid w:val="00D91E21"/>
    <w:rsid w:val="00DA7FCD"/>
    <w:rsid w:val="00E056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914CD"/>
  <w15:chartTrackingRefBased/>
  <w15:docId w15:val="{0A139448-43F3-4301-ADDC-D230BF2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4D38"/>
    <w:pPr>
      <w:spacing w:before="480" w:after="240"/>
    </w:pPr>
  </w:style>
  <w:style w:type="paragraph" w:customStyle="1" w:styleId="NormalHanging12a">
    <w:name w:val="NormalHanging12a"/>
    <w:basedOn w:val="Normal"/>
    <w:rsid w:val="008E4D38"/>
    <w:pPr>
      <w:spacing w:after="240"/>
      <w:ind w:left="567" w:hanging="567"/>
    </w:pPr>
  </w:style>
  <w:style w:type="character" w:styleId="Hyperlink">
    <w:name w:val="Hyperlink"/>
    <w:basedOn w:val="DefaultParagraphFont"/>
    <w:rsid w:val="008E4D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66C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6CAD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3AA78-A8CC-4B33-AB08-934E609BF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5630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SOLTYSOVA Zuzana</cp:lastModifiedBy>
  <cp:revision>2</cp:revision>
  <cp:lastPrinted>2004-11-19T15:42:00Z</cp:lastPrinted>
  <dcterms:created xsi:type="dcterms:W3CDTF">2024-12-17T10:00:00Z</dcterms:created>
  <dcterms:modified xsi:type="dcterms:W3CDTF">2024-12-17T10:00:00Z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P10_TA(2024)0023_</vt:lpwstr>
  </property>
  <property fmtid="{D5CDD505-2E9C-101B-9397-08002B2CF9AE}" pid="4" name="&lt;Type&gt;">
    <vt:lpwstr>RR</vt:lpwstr>
  </property>
</Properties>
</file>