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332C" w:rsidTr="0010095E">
        <w:trPr>
          <w:trHeight w:hRule="exact" w:val="1418"/>
        </w:trPr>
        <w:tc>
          <w:tcPr>
            <w:tcW w:w="6804" w:type="dxa"/>
            <w:shd w:val="clear" w:color="auto" w:fill="auto"/>
            <w:vAlign w:val="center"/>
          </w:tcPr>
          <w:p w:rsidR="00751A4A" w:rsidRPr="00BC332C" w:rsidRDefault="00DD4084" w:rsidP="0010095E">
            <w:pPr>
              <w:pStyle w:val="EPName"/>
            </w:pPr>
            <w:r w:rsidRPr="00BC332C">
              <w:t>Euroopan parlamentti</w:t>
            </w:r>
          </w:p>
          <w:p w:rsidR="00751A4A" w:rsidRPr="00BC332C" w:rsidRDefault="005F1B17" w:rsidP="005F1B17">
            <w:pPr>
              <w:pStyle w:val="EPTerm"/>
              <w:rPr>
                <w:rStyle w:val="HideTWBExt"/>
                <w:noProof w:val="0"/>
                <w:vanish w:val="0"/>
                <w:color w:val="auto"/>
              </w:rPr>
            </w:pPr>
            <w:r w:rsidRPr="00BC332C">
              <w:t>2024</w:t>
            </w:r>
            <w:r w:rsidR="00817416" w:rsidRPr="00BC332C">
              <w:t>-202</w:t>
            </w:r>
            <w:r w:rsidRPr="00BC332C">
              <w:t>9</w:t>
            </w:r>
          </w:p>
        </w:tc>
        <w:tc>
          <w:tcPr>
            <w:tcW w:w="2268" w:type="dxa"/>
            <w:shd w:val="clear" w:color="auto" w:fill="auto"/>
          </w:tcPr>
          <w:p w:rsidR="00751A4A" w:rsidRPr="00BC332C" w:rsidRDefault="00187494" w:rsidP="0010095E">
            <w:pPr>
              <w:pStyle w:val="EPLogo"/>
            </w:pPr>
            <w:r w:rsidRPr="00BC332C">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C332C" w:rsidRDefault="00D058B8" w:rsidP="004C5D52">
      <w:pPr>
        <w:pStyle w:val="LineTop"/>
      </w:pPr>
    </w:p>
    <w:p w:rsidR="00680577" w:rsidRPr="00BC332C" w:rsidRDefault="00DD4084" w:rsidP="00680577">
      <w:pPr>
        <w:pStyle w:val="EPBodyTA1"/>
      </w:pPr>
      <w:r w:rsidRPr="00BC332C">
        <w:t>HYVÄKSYTYT TEKSTIT</w:t>
      </w:r>
    </w:p>
    <w:p w:rsidR="00D058B8" w:rsidRPr="00BC332C" w:rsidRDefault="00D058B8" w:rsidP="00D058B8">
      <w:pPr>
        <w:pStyle w:val="LineBottom"/>
      </w:pPr>
    </w:p>
    <w:p w:rsidR="00DD4084" w:rsidRPr="00BC332C" w:rsidRDefault="00DD4084" w:rsidP="00DD4084">
      <w:pPr>
        <w:pStyle w:val="ATHeading1"/>
      </w:pPr>
      <w:bookmarkStart w:id="0" w:name="TANumber"/>
      <w:r w:rsidRPr="00BC332C">
        <w:t>P10_</w:t>
      </w:r>
      <w:proofErr w:type="gramStart"/>
      <w:r w:rsidRPr="00BC332C">
        <w:t>TA(</w:t>
      </w:r>
      <w:proofErr w:type="gramEnd"/>
      <w:r w:rsidRPr="00BC332C">
        <w:t>2024)00</w:t>
      </w:r>
      <w:r w:rsidR="00646BF3">
        <w:t>23</w:t>
      </w:r>
      <w:bookmarkEnd w:id="0"/>
    </w:p>
    <w:p w:rsidR="00DD4084" w:rsidRPr="00BC332C" w:rsidRDefault="00C7277F" w:rsidP="00DD4084">
      <w:pPr>
        <w:pStyle w:val="ATHeading2"/>
      </w:pPr>
      <w:bookmarkStart w:id="1" w:name="title"/>
      <w:r>
        <w:t>L</w:t>
      </w:r>
      <w:r w:rsidR="00DD4084" w:rsidRPr="00BC332C">
        <w:t>isätalousarvio</w:t>
      </w:r>
      <w:r>
        <w:t>esitys</w:t>
      </w:r>
      <w:r w:rsidR="00DD4084" w:rsidRPr="00BC332C">
        <w:t xml:space="preserve"> nro 2/2024</w:t>
      </w:r>
      <w:r>
        <w:t>:</w:t>
      </w:r>
      <w:r w:rsidR="00DD4084" w:rsidRPr="00BC332C">
        <w:t xml:space="preserve"> </w:t>
      </w:r>
      <w:r>
        <w:t>v</w:t>
      </w:r>
      <w:r w:rsidR="00DD4084" w:rsidRPr="00BC332C">
        <w:t>arainhoitovuoden 2023 ylijäämän ottaminen talousarvioon</w:t>
      </w:r>
      <w:bookmarkEnd w:id="1"/>
    </w:p>
    <w:p w:rsidR="00DD4084" w:rsidRPr="00BC332C" w:rsidRDefault="00DD4084" w:rsidP="00DD4084">
      <w:pPr>
        <w:rPr>
          <w:i/>
          <w:vanish/>
        </w:rPr>
      </w:pPr>
      <w:r w:rsidRPr="00BC332C">
        <w:rPr>
          <w:i/>
        </w:rPr>
        <w:fldChar w:fldCharType="begin"/>
      </w:r>
      <w:r w:rsidRPr="00BC332C">
        <w:rPr>
          <w:i/>
        </w:rPr>
        <w:instrText xml:space="preserve"> TC"(</w:instrText>
      </w:r>
      <w:bookmarkStart w:id="2" w:name="DocNumber"/>
      <w:r w:rsidRPr="00BC332C">
        <w:rPr>
          <w:i/>
        </w:rPr>
        <w:instrText>A10-0005/2024</w:instrText>
      </w:r>
      <w:bookmarkEnd w:id="2"/>
      <w:r w:rsidRPr="00BC332C">
        <w:rPr>
          <w:i/>
        </w:rPr>
        <w:instrText xml:space="preserve"> - Esittelijä: Siegfried </w:instrText>
      </w:r>
      <w:proofErr w:type="spellStart"/>
      <w:r w:rsidRPr="00BC332C">
        <w:rPr>
          <w:i/>
        </w:rPr>
        <w:instrText>Mureşan</w:instrText>
      </w:r>
      <w:proofErr w:type="spellEnd"/>
      <w:r w:rsidRPr="00BC332C">
        <w:rPr>
          <w:i/>
        </w:rPr>
        <w:instrText xml:space="preserve">)"\l3 \n&gt; \* MERGEFORMAT </w:instrText>
      </w:r>
      <w:r w:rsidRPr="00BC332C">
        <w:rPr>
          <w:i/>
        </w:rPr>
        <w:fldChar w:fldCharType="end"/>
      </w:r>
    </w:p>
    <w:p w:rsidR="00DD4084" w:rsidRPr="00BC332C" w:rsidRDefault="00DD4084" w:rsidP="00DD4084">
      <w:pPr>
        <w:rPr>
          <w:vanish/>
        </w:rPr>
      </w:pPr>
      <w:bookmarkStart w:id="3" w:name="Commission"/>
      <w:r w:rsidRPr="00BC332C">
        <w:rPr>
          <w:vanish/>
        </w:rPr>
        <w:t>Budjettivaliokunta</w:t>
      </w:r>
      <w:bookmarkEnd w:id="3"/>
    </w:p>
    <w:p w:rsidR="00DD4084" w:rsidRPr="00BC332C" w:rsidRDefault="00DD4084" w:rsidP="00DD4084">
      <w:pPr>
        <w:rPr>
          <w:vanish/>
        </w:rPr>
      </w:pPr>
      <w:bookmarkStart w:id="4" w:name="PE"/>
      <w:r w:rsidRPr="00BC332C">
        <w:rPr>
          <w:vanish/>
        </w:rPr>
        <w:t>PE763.033</w:t>
      </w:r>
      <w:bookmarkEnd w:id="4"/>
    </w:p>
    <w:p w:rsidR="00DD4084" w:rsidRPr="00BC332C" w:rsidRDefault="00DD4084" w:rsidP="00DD4084">
      <w:pPr>
        <w:pStyle w:val="ATHeading3"/>
      </w:pPr>
      <w:bookmarkStart w:id="5" w:name="Sujet"/>
      <w:r w:rsidRPr="00BC332C">
        <w:t xml:space="preserve">Euroopan parlamentin päätöslauselma </w:t>
      </w:r>
      <w:r w:rsidR="00C7277F">
        <w:t>22</w:t>
      </w:r>
      <w:r w:rsidRPr="00BC332C">
        <w:t>. lokakuuta 2024 neuvoston kannasta esitykseen Euroopan unionin lisätalousarvioksi nro 2/2024 varainhoitovuodeksi 2024 – Varainhoitovuoden 2023 ylijäämän ottaminen talousarvioon</w:t>
      </w:r>
      <w:bookmarkEnd w:id="5"/>
      <w:r w:rsidRPr="00BC332C">
        <w:t xml:space="preserve"> </w:t>
      </w:r>
      <w:bookmarkStart w:id="6" w:name="References"/>
      <w:r w:rsidRPr="00BC332C">
        <w:t>(12081/2024 – C10-0107/2024 – 2024/0089(BUD))</w:t>
      </w:r>
      <w:bookmarkEnd w:id="6"/>
    </w:p>
    <w:p w:rsidR="00911575" w:rsidRPr="00BC332C" w:rsidRDefault="00911575" w:rsidP="00911575">
      <w:pPr>
        <w:pStyle w:val="EPComma"/>
      </w:pPr>
      <w:bookmarkStart w:id="7" w:name="TextBodyBegin"/>
      <w:bookmarkEnd w:id="7"/>
      <w:r w:rsidRPr="00BC332C">
        <w:rPr>
          <w:i/>
        </w:rPr>
        <w:t>Euroopan parlamentti</w:t>
      </w:r>
      <w:r w:rsidRPr="00BC332C">
        <w:t>, joka</w:t>
      </w:r>
    </w:p>
    <w:p w:rsidR="00911575" w:rsidRPr="00BC332C" w:rsidRDefault="00911575" w:rsidP="00C7277F">
      <w:pPr>
        <w:pStyle w:val="NormalHanging12a"/>
        <w:widowControl/>
      </w:pPr>
      <w:r w:rsidRPr="00BC332C">
        <w:t>–</w:t>
      </w:r>
      <w:r w:rsidRPr="00BC332C">
        <w:tab/>
        <w:t>ottaa huomioon Euroopan unionin toiminnasta tehdyn sopimuksen 314 artiklan,</w:t>
      </w:r>
    </w:p>
    <w:p w:rsidR="00911575" w:rsidRPr="00BC332C" w:rsidRDefault="00911575" w:rsidP="00C7277F">
      <w:pPr>
        <w:pStyle w:val="NormalHanging12a"/>
        <w:widowControl/>
      </w:pPr>
      <w:r w:rsidRPr="00BC332C">
        <w:t>–</w:t>
      </w:r>
      <w:r w:rsidRPr="00BC332C">
        <w:tab/>
        <w:t>ottaa huomioon Euroopan atomienergiayhteisön perustamissopimuksen 106 A artiklan,</w:t>
      </w:r>
    </w:p>
    <w:p w:rsidR="00911575" w:rsidRDefault="00911575" w:rsidP="00C7277F">
      <w:pPr>
        <w:pStyle w:val="NormalHanging12a"/>
        <w:widowControl/>
      </w:pPr>
      <w:r w:rsidRPr="00BC332C">
        <w:t>–</w:t>
      </w:r>
      <w:r w:rsidRPr="00BC332C">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BC332C">
        <w:rPr>
          <w:rStyle w:val="FootnoteReference"/>
        </w:rPr>
        <w:footnoteReference w:id="1"/>
      </w:r>
      <w:r w:rsidRPr="00BC332C">
        <w:t xml:space="preserve"> ja erityisesti sen 44 artiklan,</w:t>
      </w:r>
    </w:p>
    <w:p w:rsidR="009F5894" w:rsidRPr="00BC332C" w:rsidRDefault="009F5894" w:rsidP="00C7277F">
      <w:pPr>
        <w:pStyle w:val="NormalHanging12a"/>
        <w:widowControl/>
      </w:pPr>
      <w:r w:rsidRPr="001C39E2">
        <w:t>–</w:t>
      </w:r>
      <w:r w:rsidRPr="001C39E2">
        <w:tab/>
        <w:t>ottaa huomioon unionin yleiseen talousarvioon sovellettavista varainhoitosäännöistä 23. syyskuuta 2024 annetun Euroopan parlamentin ja neuvoston asetuksen (EU, Euratom) 2024/2509</w:t>
      </w:r>
      <w:r w:rsidRPr="001C39E2">
        <w:rPr>
          <w:rStyle w:val="FootnoteReference"/>
        </w:rPr>
        <w:footnoteReference w:id="2"/>
      </w:r>
      <w:r w:rsidRPr="001C39E2">
        <w:t xml:space="preserve"> ja erityisesti sen 44 artiklan,</w:t>
      </w:r>
    </w:p>
    <w:p w:rsidR="00911575" w:rsidRPr="00BC332C" w:rsidRDefault="00911575" w:rsidP="00C7277F">
      <w:pPr>
        <w:pStyle w:val="NormalHanging12a"/>
        <w:widowControl/>
      </w:pPr>
      <w:r w:rsidRPr="00BC332C">
        <w:t>–</w:t>
      </w:r>
      <w:r w:rsidRPr="00BC332C">
        <w:tab/>
        <w:t>ottaa huomioon 22. marraskuuta 2023 lopullisesti hyväksytyn Euroopan unionin yleisen talousarvion varainhoitovuodeksi 2024</w:t>
      </w:r>
      <w:r w:rsidRPr="00BC332C">
        <w:rPr>
          <w:rStyle w:val="FootnoteReference"/>
        </w:rPr>
        <w:footnoteReference w:id="3"/>
      </w:r>
      <w:r w:rsidRPr="00BC332C">
        <w:t>,</w:t>
      </w:r>
    </w:p>
    <w:p w:rsidR="00911575" w:rsidRPr="00BC332C" w:rsidRDefault="00911575" w:rsidP="00C7277F">
      <w:pPr>
        <w:pStyle w:val="NormalHanging12a"/>
        <w:widowControl/>
      </w:pPr>
      <w:r w:rsidRPr="00BC332C">
        <w:t>–</w:t>
      </w:r>
      <w:r w:rsidRPr="00BC332C">
        <w:tab/>
        <w:t>ottaa huomioon vuosia 2021–2027 koskevan monivuotisen rahoituskehyksen vahvistamisesta 17. joulukuuta 2020 annetun neuvoston asetuksen (EU, Euratom) 2020/2093</w:t>
      </w:r>
      <w:r w:rsidRPr="00BC332C">
        <w:rPr>
          <w:rStyle w:val="FootnoteReference"/>
        </w:rPr>
        <w:footnoteReference w:id="4"/>
      </w:r>
      <w:r w:rsidRPr="00BC332C">
        <w:t>,</w:t>
      </w:r>
    </w:p>
    <w:p w:rsidR="00911575" w:rsidRPr="00BC332C" w:rsidRDefault="00911575" w:rsidP="00C7277F">
      <w:pPr>
        <w:pStyle w:val="NormalHanging12a"/>
        <w:widowControl/>
      </w:pPr>
      <w:r w:rsidRPr="00BC332C">
        <w:lastRenderedPageBreak/>
        <w:t>–</w:t>
      </w:r>
      <w:r w:rsidRPr="00BC332C">
        <w:tab/>
        <w:t>ottaa huomioon talousarviota koskevasta kurinalaisuudesta, talousarvioyhteistyöstä ja moitteettomasta varainhoidosta sekä uusista omista varoista, mukaan lukien etenemissuunnitelma uusien omien varojen käyttöönottamiseksi, 16. joulukuuta 2020 tehdyn Euroopan parlamentin, Euroopan unionin neuvoston ja Euroopan komission välisen toimielinten sopimuksen</w:t>
      </w:r>
      <w:r w:rsidRPr="00BC332C">
        <w:rPr>
          <w:rStyle w:val="FootnoteReference"/>
        </w:rPr>
        <w:footnoteReference w:id="5"/>
      </w:r>
      <w:r w:rsidRPr="00BC332C">
        <w:t>,</w:t>
      </w:r>
    </w:p>
    <w:p w:rsidR="00911575" w:rsidRPr="00BC332C" w:rsidRDefault="00911575" w:rsidP="00C7277F">
      <w:pPr>
        <w:pStyle w:val="NormalHanging12a"/>
        <w:widowControl/>
      </w:pPr>
      <w:r w:rsidRPr="00BC332C">
        <w:t>–</w:t>
      </w:r>
      <w:r w:rsidRPr="00BC332C">
        <w:tab/>
        <w:t>ottaa huomioon Euroopan unionin omien varojen järjestelmästä ja päätöksen 2014/335/EU, Euratom kumoamisesta 14. joulukuuta 2020 annetun neuvoston päätöksen (EU, Euratom) 2020/2053</w:t>
      </w:r>
      <w:r w:rsidRPr="00BC332C">
        <w:rPr>
          <w:rStyle w:val="FootnoteReference"/>
        </w:rPr>
        <w:footnoteReference w:id="6"/>
      </w:r>
      <w:r w:rsidRPr="00BC332C">
        <w:t>,</w:t>
      </w:r>
    </w:p>
    <w:p w:rsidR="00911575" w:rsidRPr="00BC332C" w:rsidRDefault="00911575" w:rsidP="00C7277F">
      <w:pPr>
        <w:pStyle w:val="NormalHanging12a"/>
        <w:widowControl/>
      </w:pPr>
      <w:r w:rsidRPr="00BC332C">
        <w:t>–</w:t>
      </w:r>
      <w:r w:rsidRPr="00BC332C">
        <w:tab/>
        <w:t>ottaa huomioon komission 9. huhtikuuta 2024 antaman esityksen lisätalousarvioksi nro 2/2024 (</w:t>
      </w:r>
      <w:proofErr w:type="gramStart"/>
      <w:r w:rsidRPr="00BC332C">
        <w:t>COM(</w:t>
      </w:r>
      <w:proofErr w:type="gramEnd"/>
      <w:r w:rsidRPr="00BC332C">
        <w:t>2024)0920),</w:t>
      </w:r>
    </w:p>
    <w:p w:rsidR="00911575" w:rsidRPr="00BC332C" w:rsidRDefault="00911575" w:rsidP="00C7277F">
      <w:pPr>
        <w:pStyle w:val="NormalHanging12a"/>
        <w:widowControl/>
      </w:pPr>
      <w:r w:rsidRPr="00BC332C">
        <w:t>–</w:t>
      </w:r>
      <w:r w:rsidRPr="00BC332C">
        <w:tab/>
        <w:t>ottaa huomioon neu</w:t>
      </w:r>
      <w:bookmarkStart w:id="8" w:name="_GoBack"/>
      <w:bookmarkEnd w:id="8"/>
      <w:r w:rsidRPr="00BC332C">
        <w:t>voston 13. syyskuuta 2024 vahvistaman ja 16. syyskuuta 2024 parlamentille toimittaman kannan esitykseen lisätalousarvioksi nro 2/2024 (12081/2024 – C10</w:t>
      </w:r>
      <w:r w:rsidRPr="00BC332C">
        <w:noBreakHyphen/>
        <w:t>0107/2024),</w:t>
      </w:r>
    </w:p>
    <w:p w:rsidR="00911575" w:rsidRPr="00BC332C" w:rsidRDefault="00911575" w:rsidP="00C7277F">
      <w:pPr>
        <w:pStyle w:val="NormalHanging12a"/>
        <w:widowControl/>
      </w:pPr>
      <w:r w:rsidRPr="00BC332C">
        <w:t>–</w:t>
      </w:r>
      <w:r w:rsidRPr="00BC332C">
        <w:tab/>
        <w:t>ottaa huomioon työjärjestyksen 96 ja 98 artiklan,</w:t>
      </w:r>
    </w:p>
    <w:p w:rsidR="00911575" w:rsidRPr="00BC332C" w:rsidRDefault="00911575" w:rsidP="00C7277F">
      <w:pPr>
        <w:pStyle w:val="NormalHanging12a"/>
        <w:widowControl/>
      </w:pPr>
      <w:r w:rsidRPr="00BC332C">
        <w:t>–</w:t>
      </w:r>
      <w:r w:rsidRPr="00BC332C">
        <w:tab/>
        <w:t>ottaa huomioon budjettivaliokunnan mietinnön (A10-0005/2024),</w:t>
      </w:r>
    </w:p>
    <w:p w:rsidR="00911575" w:rsidRPr="00BC332C" w:rsidRDefault="00911575" w:rsidP="00C7277F">
      <w:pPr>
        <w:pStyle w:val="NormalHanging12a"/>
        <w:widowControl/>
      </w:pPr>
      <w:r w:rsidRPr="00BC332C">
        <w:t>A.</w:t>
      </w:r>
      <w:r w:rsidRPr="00BC332C">
        <w:tab/>
        <w:t>ottaa huomioon, että lisätalousarvioesityksen nro 2/2024 tarkoituksena on ottaa vuoden 2024 talousarvioon varainhoitovuoden 2023 ylijäämä, joka on 633 miljoonaa euroa;</w:t>
      </w:r>
    </w:p>
    <w:p w:rsidR="00911575" w:rsidRPr="00BC332C" w:rsidRDefault="00911575" w:rsidP="00C7277F">
      <w:pPr>
        <w:pStyle w:val="NormalHanging12a"/>
        <w:widowControl/>
      </w:pPr>
      <w:r w:rsidRPr="00BC332C">
        <w:t>B.</w:t>
      </w:r>
      <w:r w:rsidRPr="00BC332C">
        <w:tab/>
        <w:t>ottaa huomioon, että ylijäämä muodostuu pääasiassa 238,7 miljoonan euron suuruisesta tulojen positiivisesta toteutumasta sekä 393,9 miljoonan euron suuruisesta määrärahojen ennakoitua vähäisemmästä käytöstä;</w:t>
      </w:r>
    </w:p>
    <w:p w:rsidR="00911575" w:rsidRPr="00BC332C" w:rsidRDefault="00911575" w:rsidP="00C7277F">
      <w:pPr>
        <w:pStyle w:val="NormalHanging12a"/>
        <w:widowControl/>
      </w:pPr>
      <w:r w:rsidRPr="00BC332C">
        <w:t>C.</w:t>
      </w:r>
      <w:r w:rsidRPr="00BC332C">
        <w:tab/>
        <w:t>ottaa huomioon, että tulopuolella ylijäämän merkittävimmät syyt ovat 1 766 miljoonan euron rahoitustuotot, viivästyskorot ja sakot ja että tullimaksut olivat 1 649 miljoonaa euroa odotettua pienemmät; ottaa huomioon, että hallinnosta saatavien tulojen 107 miljoonan euron ylijäämä johtuu pääasiassa oletettua suuremmasta eläkemaksusta ja tammikuussa 2023 toteutetusta palkkojen väliaikaisesta tarkistuksesta, joka korotti verojen ja maksujen sekä eläkejärjestelmään suoritettavien maksujen tasoa;</w:t>
      </w:r>
    </w:p>
    <w:p w:rsidR="00911575" w:rsidRPr="00BC332C" w:rsidRDefault="00911575" w:rsidP="00C7277F">
      <w:pPr>
        <w:pStyle w:val="NormalHanging12a"/>
        <w:widowControl/>
      </w:pPr>
      <w:r w:rsidRPr="00BC332C">
        <w:t>D.</w:t>
      </w:r>
      <w:r w:rsidRPr="00BC332C">
        <w:tab/>
        <w:t>ottaa huomioon, että menopuolella komissiolta jäi käyttämättä 70 miljoonaa euroa (0,1 prosenttia hyväksytyistä maksumäärärahoista); ottaa huomioon, että muut toimielimet peruuttivat 48 miljoonaa euroa maksumäärärahoja ja sen vuoksi käyttämättä jääneiden määrärahojen määrä pysyi alhaisena vuoden 2022 talousarvion tapaan;</w:t>
      </w:r>
    </w:p>
    <w:p w:rsidR="00911575" w:rsidRPr="00BC332C" w:rsidRDefault="00911575" w:rsidP="00C7277F">
      <w:pPr>
        <w:widowControl/>
        <w:spacing w:after="240"/>
        <w:ind w:left="567" w:hanging="567"/>
      </w:pPr>
      <w:r w:rsidRPr="00BC332C">
        <w:t>E.</w:t>
      </w:r>
      <w:r w:rsidRPr="00BC332C">
        <w:tab/>
        <w:t>ottaa huomioon, että lisätalousarvioesityksessä nro 2/2024 Saksan, Alankomaiden, Tanskan, Ruotsin ja Itävallan vuotuisten BKTL-maksuosuuksien kiinteämääräisten vähennysten nettomäärä on noin 5,4 miljardia euroa;</w:t>
      </w:r>
    </w:p>
    <w:p w:rsidR="00911575" w:rsidRPr="00BC332C" w:rsidRDefault="00911575" w:rsidP="00C7277F">
      <w:pPr>
        <w:widowControl/>
        <w:spacing w:after="240"/>
        <w:ind w:left="567" w:hanging="567"/>
      </w:pPr>
      <w:r w:rsidRPr="00BC332C">
        <w:t>F.</w:t>
      </w:r>
      <w:r w:rsidRPr="00BC332C">
        <w:tab/>
        <w:t xml:space="preserve">ottaa huomioon, että unionin talousarviossa ei edelleenkään ole paljon liikkumavaraa tai joustavuutta, vaikka monivuotista rahoituskehystä tarkistettiin ja otettiin käyttöön uusi EURI-väline, jotta voidaan kattaa Euroopan unionin elpymisvälineen kasvavat lainakustannukset, joille on ominaista vaihtelevuus, mikä aiheuttaa talousarviolle </w:t>
      </w:r>
      <w:r w:rsidRPr="00BC332C">
        <w:lastRenderedPageBreak/>
        <w:t>epävarmuutta; ottaa huomioon, että talousarviotarpeet kasvavat tässä haastavassa tilanteessa;</w:t>
      </w:r>
    </w:p>
    <w:p w:rsidR="00911575" w:rsidRPr="00BC332C" w:rsidRDefault="00911575" w:rsidP="00C7277F">
      <w:pPr>
        <w:pStyle w:val="NormalHanging12a"/>
        <w:widowControl/>
      </w:pPr>
      <w:r w:rsidRPr="00BC332C">
        <w:t>1.</w:t>
      </w:r>
      <w:r w:rsidRPr="00BC332C">
        <w:tab/>
        <w:t>panee merkille komission antaman lisätalousarvioesityksen nro 2/2024, jonka tarkoituksena on sisällyttää talousarvioon vuoden 2023 ylijäämä eli 633 miljoonaa euroa varainhoitoasetuksen 18 artiklan 3 kohdan mukaisesti;</w:t>
      </w:r>
    </w:p>
    <w:p w:rsidR="00911575" w:rsidRPr="00BC332C" w:rsidRDefault="00911575" w:rsidP="00C7277F">
      <w:pPr>
        <w:pStyle w:val="NormalHanging12a"/>
        <w:widowControl/>
      </w:pPr>
      <w:r w:rsidRPr="00BC332C">
        <w:t>2.</w:t>
      </w:r>
      <w:r w:rsidRPr="00BC332C">
        <w:tab/>
        <w:t xml:space="preserve">pitää myönteisenä, että vuoden 2023 ylijäämä on huomattavasti pienempi kuin vuoden 2022 ylijäämä, mikä viittaa siihen, että komission talousarvioennusteet ja -hallinto ovat parantuneet; </w:t>
      </w:r>
    </w:p>
    <w:p w:rsidR="00911575" w:rsidRPr="00BC332C" w:rsidRDefault="00911575" w:rsidP="00C7277F">
      <w:pPr>
        <w:pStyle w:val="NormalHanging12a"/>
        <w:widowControl/>
      </w:pPr>
      <w:r w:rsidRPr="00BC332C">
        <w:t>3.</w:t>
      </w:r>
      <w:r w:rsidRPr="00BC332C">
        <w:tab/>
        <w:t>korostaa, että ylijäämä vähentää jäsenvaltioiden yhteistä osuutta vuoden 2024 talousarvion rahoittamisesta aikana, jolloin rahoitustarpeet ovat edelleen suuret ja unionin talousarvion liikkumavara on äärimmäisen rajallinen; korostaa, että talousarviossa on säilytettävä riittävä joustavuus, jotta unioni voi selviytyä odottamattomista tapahtumista ja uusista painopisteistä;</w:t>
      </w:r>
    </w:p>
    <w:p w:rsidR="00911575" w:rsidRPr="00BC332C" w:rsidRDefault="00911575" w:rsidP="00C7277F">
      <w:pPr>
        <w:pStyle w:val="NormalHanging12a"/>
        <w:widowControl/>
      </w:pPr>
      <w:r w:rsidRPr="00BC332C">
        <w:t>4.</w:t>
      </w:r>
      <w:r w:rsidRPr="00BC332C">
        <w:tab/>
        <w:t>palauttaa mieliin pitkäaikaisen kantansa, jonka mukaan sakkoja ja maksuja olisi käytettävä unionin talousarvion lisätuloina eivätkä ne saisi johtaa siihen, että BKTL</w:t>
      </w:r>
      <w:r w:rsidRPr="00BC332C">
        <w:noBreakHyphen/>
        <w:t>maksuosuuksia pienennetään vastaavasti;</w:t>
      </w:r>
    </w:p>
    <w:p w:rsidR="00911575" w:rsidRPr="00BC332C" w:rsidRDefault="00911575" w:rsidP="00C7277F">
      <w:pPr>
        <w:widowControl/>
        <w:spacing w:after="240"/>
        <w:ind w:left="567" w:hanging="567"/>
      </w:pPr>
      <w:r w:rsidRPr="00BC332C">
        <w:t>5.</w:t>
      </w:r>
      <w:r w:rsidRPr="00BC332C">
        <w:tab/>
        <w:t>panee merkille, että viiden edunsaajajäsenvaltion mukautettujen vuotuisten BKTL</w:t>
      </w:r>
      <w:r w:rsidRPr="00BC332C">
        <w:noBreakHyphen/>
        <w:t xml:space="preserve">maksuosuuksien kiinteämääräisten vähennysten nettomääräksi on laskettu noin 5,4 miljardia euroa; korostaa, että nämä alennukset ovat inflaatiosidonnaisia ja että ne ovat siksi kasvaneet enemmän kuin monivuotisen rahoituskehyksen enimmäismäärät, joita mukautetaan vuosittain kahden prosentin </w:t>
      </w:r>
      <w:proofErr w:type="spellStart"/>
      <w:r w:rsidRPr="00BC332C">
        <w:t>deflaattorin</w:t>
      </w:r>
      <w:proofErr w:type="spellEnd"/>
      <w:r w:rsidRPr="00BC332C">
        <w:t xml:space="preserve"> perusteella; korostaa, että tämä poikkeama lisää muiden jäsenvaltioiden taakkaa;</w:t>
      </w:r>
    </w:p>
    <w:p w:rsidR="00911575" w:rsidRPr="00BC332C" w:rsidRDefault="00911575" w:rsidP="00C7277F">
      <w:pPr>
        <w:pStyle w:val="NormalHanging12a"/>
        <w:widowControl/>
        <w:rPr>
          <w:szCs w:val="24"/>
        </w:rPr>
      </w:pPr>
      <w:r w:rsidRPr="00BC332C">
        <w:t>6.</w:t>
      </w:r>
      <w:r w:rsidRPr="00BC332C">
        <w:tab/>
        <w:t>korostaa, että unionin talousarvioon tarvitaan vakaita tuloja; pitää siksi valitettavana, ettei neuvosto ole edennyt omien varojen järjestelmän uudistamisessa toimielinten välisen sopimuksen etenemissuunnitelman mukaisesti;</w:t>
      </w:r>
      <w:r w:rsidR="00537430">
        <w:t xml:space="preserve"> </w:t>
      </w:r>
      <w:r w:rsidRPr="00BC332C">
        <w:t>palauttaa mieliin kantansa, jonka mukaan se tukee komission muutettuja ehdotuksia, ja kehottaa neuvostoa hyväksymään nämä ehdotukset nopeasti unionin talousarvion käytettävissä olevien omien varojen lisäämiseksi;</w:t>
      </w:r>
    </w:p>
    <w:p w:rsidR="00911575" w:rsidRPr="00BC332C" w:rsidRDefault="00911575" w:rsidP="00C7277F">
      <w:pPr>
        <w:pStyle w:val="NormalHanging12a"/>
        <w:widowControl/>
      </w:pPr>
      <w:r w:rsidRPr="00BC332C">
        <w:t>7.</w:t>
      </w:r>
      <w:r w:rsidRPr="00BC332C">
        <w:tab/>
        <w:t>hyväksyy neuvoston kannan esitykseen lisätalousarvioksi nro 2/2024;</w:t>
      </w:r>
    </w:p>
    <w:p w:rsidR="00911575" w:rsidRPr="00BC332C" w:rsidRDefault="00911575" w:rsidP="00C7277F">
      <w:pPr>
        <w:pStyle w:val="NormalHanging12a"/>
        <w:widowControl/>
      </w:pPr>
      <w:r w:rsidRPr="00BC332C">
        <w:t>8.</w:t>
      </w:r>
      <w:r w:rsidRPr="00BC332C">
        <w:tab/>
        <w:t>kehottaa puhemiestä toteamaan lisätalousarvion nro </w:t>
      </w:r>
      <w:r w:rsidR="009F5894">
        <w:t>3</w:t>
      </w:r>
      <w:r w:rsidRPr="00BC332C">
        <w:t xml:space="preserve">/2024 lopullisesti hyväksytyksi ja huolehtimaan sen julkaisemisesta </w:t>
      </w:r>
      <w:r w:rsidRPr="00BC332C">
        <w:rPr>
          <w:i/>
        </w:rPr>
        <w:t>Euroopan unionin virallisessa lehdessä</w:t>
      </w:r>
      <w:r w:rsidRPr="00BC332C">
        <w:t>;</w:t>
      </w:r>
    </w:p>
    <w:p w:rsidR="00E365E1" w:rsidRDefault="00911575" w:rsidP="00C7277F">
      <w:pPr>
        <w:widowControl/>
        <w:spacing w:after="240"/>
        <w:ind w:left="567" w:hanging="567"/>
      </w:pPr>
      <w:r w:rsidRPr="00BC332C">
        <w:t>9.</w:t>
      </w:r>
      <w:r w:rsidRPr="00BC332C">
        <w:tab/>
        <w:t>kehottaa puhemiestä välittämään tämän päätöslauselman neuvostolle ja komissiolle, asianomaisille muille toimielimille ja elimille sekä kansallisille parlamenteille.</w:t>
      </w:r>
      <w:bookmarkStart w:id="9" w:name="TextBodyEnd"/>
      <w:bookmarkEnd w:id="9"/>
    </w:p>
    <w:p w:rsidR="00C7277F" w:rsidRPr="00BC332C" w:rsidRDefault="00C7277F" w:rsidP="00DD4084"/>
    <w:sectPr w:rsidR="00C7277F" w:rsidRPr="00BC332C" w:rsidSect="00BC332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4084" w:rsidRPr="00BC332C" w:rsidRDefault="00DD4084">
      <w:r w:rsidRPr="00BC332C">
        <w:separator/>
      </w:r>
    </w:p>
  </w:endnote>
  <w:endnote w:type="continuationSeparator" w:id="0">
    <w:p w:rsidR="00DD4084" w:rsidRPr="00BC332C" w:rsidRDefault="00DD4084">
      <w:r w:rsidRPr="00BC33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4084" w:rsidRPr="00BC332C" w:rsidRDefault="00DD4084">
      <w:r w:rsidRPr="00BC332C">
        <w:separator/>
      </w:r>
    </w:p>
  </w:footnote>
  <w:footnote w:type="continuationSeparator" w:id="0">
    <w:p w:rsidR="00DD4084" w:rsidRPr="00BC332C" w:rsidRDefault="00DD4084">
      <w:r w:rsidRPr="00BC332C">
        <w:continuationSeparator/>
      </w:r>
    </w:p>
  </w:footnote>
  <w:footnote w:id="1">
    <w:p w:rsidR="00911575" w:rsidRPr="00BC332C" w:rsidRDefault="00911575" w:rsidP="00BC332C">
      <w:pPr>
        <w:pStyle w:val="FootnoteText"/>
        <w:ind w:left="567" w:hanging="567"/>
        <w:rPr>
          <w:sz w:val="24"/>
          <w:lang w:val="fi-FI"/>
        </w:rPr>
      </w:pPr>
      <w:r w:rsidRPr="00BC332C">
        <w:rPr>
          <w:rStyle w:val="FootnoteReference"/>
          <w:sz w:val="24"/>
          <w:lang w:val="fi-FI"/>
        </w:rPr>
        <w:footnoteRef/>
      </w:r>
      <w:r w:rsidR="00BC332C" w:rsidRPr="00BC332C">
        <w:rPr>
          <w:sz w:val="24"/>
          <w:lang w:val="fi-FI"/>
        </w:rPr>
        <w:t xml:space="preserve"> </w:t>
      </w:r>
      <w:r w:rsidR="00BC332C" w:rsidRPr="00BC332C">
        <w:rPr>
          <w:sz w:val="24"/>
          <w:lang w:val="fi-FI"/>
        </w:rPr>
        <w:tab/>
      </w:r>
      <w:r w:rsidRPr="00BC332C">
        <w:rPr>
          <w:sz w:val="24"/>
          <w:lang w:val="fi-FI"/>
        </w:rPr>
        <w:t xml:space="preserve">EUVL L 193, 30.7.2018, s. 1, ELI: </w:t>
      </w:r>
      <w:hyperlink r:id="rId1" w:history="1">
        <w:r w:rsidRPr="00BC332C">
          <w:rPr>
            <w:rStyle w:val="Hyperlink"/>
            <w:sz w:val="24"/>
            <w:lang w:val="fi-FI"/>
          </w:rPr>
          <w:t>http://data.europa.eu/eli/reg/2018/1046/oj</w:t>
        </w:r>
      </w:hyperlink>
      <w:r w:rsidRPr="00BC332C">
        <w:rPr>
          <w:sz w:val="24"/>
          <w:lang w:val="fi-FI"/>
        </w:rPr>
        <w:t>.</w:t>
      </w:r>
    </w:p>
  </w:footnote>
  <w:footnote w:id="2">
    <w:p w:rsidR="009F5894" w:rsidRPr="00537430" w:rsidRDefault="009F5894" w:rsidP="009F5894">
      <w:pPr>
        <w:pStyle w:val="FootnoteText"/>
        <w:ind w:left="567" w:hanging="567"/>
        <w:rPr>
          <w:sz w:val="24"/>
          <w:lang w:val="fr-BE"/>
        </w:rPr>
      </w:pPr>
      <w:r w:rsidRPr="001C39E2">
        <w:rPr>
          <w:rStyle w:val="FootnoteReference"/>
          <w:sz w:val="24"/>
          <w:lang w:val="fi-FI"/>
        </w:rPr>
        <w:footnoteRef/>
      </w:r>
      <w:r w:rsidRPr="00537430">
        <w:rPr>
          <w:sz w:val="24"/>
          <w:lang w:val="fr-BE"/>
        </w:rPr>
        <w:t xml:space="preserve"> </w:t>
      </w:r>
      <w:r w:rsidRPr="00537430">
        <w:rPr>
          <w:sz w:val="24"/>
          <w:lang w:val="fr-BE"/>
        </w:rPr>
        <w:tab/>
        <w:t xml:space="preserve">EUVL L, 2024/2509, 26.9.2024, </w:t>
      </w:r>
      <w:hyperlink r:id="rId2" w:history="1">
        <w:r w:rsidRPr="00537430">
          <w:rPr>
            <w:rStyle w:val="Hyperlink"/>
            <w:sz w:val="24"/>
            <w:lang w:val="fr-BE"/>
          </w:rPr>
          <w:t>http://data.europa.eu/eli/reg/2024/2509/oj</w:t>
        </w:r>
      </w:hyperlink>
      <w:r w:rsidRPr="00537430">
        <w:rPr>
          <w:sz w:val="24"/>
          <w:lang w:val="fr-BE"/>
        </w:rPr>
        <w:t>.</w:t>
      </w:r>
    </w:p>
  </w:footnote>
  <w:footnote w:id="3">
    <w:p w:rsidR="00911575" w:rsidRPr="00BC332C" w:rsidRDefault="00911575" w:rsidP="00BC332C">
      <w:pPr>
        <w:pStyle w:val="FootnoteText"/>
        <w:ind w:left="567" w:hanging="567"/>
        <w:rPr>
          <w:sz w:val="24"/>
          <w:lang w:val="fi-FI"/>
        </w:rPr>
      </w:pPr>
      <w:r w:rsidRPr="00BC332C">
        <w:rPr>
          <w:rStyle w:val="FootnoteReference"/>
          <w:sz w:val="24"/>
          <w:lang w:val="fi-FI"/>
        </w:rPr>
        <w:footnoteRef/>
      </w:r>
      <w:r w:rsidR="00BC332C" w:rsidRPr="00BC332C">
        <w:rPr>
          <w:sz w:val="24"/>
          <w:lang w:val="fi-FI"/>
        </w:rPr>
        <w:t xml:space="preserve"> </w:t>
      </w:r>
      <w:r w:rsidR="00BC332C" w:rsidRPr="00BC332C">
        <w:rPr>
          <w:sz w:val="24"/>
          <w:lang w:val="fi-FI"/>
        </w:rPr>
        <w:tab/>
      </w:r>
      <w:r w:rsidRPr="00BC332C">
        <w:rPr>
          <w:sz w:val="24"/>
          <w:lang w:val="fi-FI"/>
        </w:rPr>
        <w:t xml:space="preserve">EUVL L, 2024/207, 22.2.2024, ELI: </w:t>
      </w:r>
      <w:hyperlink r:id="rId3" w:history="1">
        <w:r w:rsidRPr="00BC332C">
          <w:rPr>
            <w:rStyle w:val="Hyperlink"/>
            <w:sz w:val="24"/>
            <w:lang w:val="fi-FI"/>
          </w:rPr>
          <w:t>http://data.europa.eu/eli/budget/2024/207/oj</w:t>
        </w:r>
      </w:hyperlink>
      <w:r w:rsidRPr="00BC332C">
        <w:rPr>
          <w:sz w:val="24"/>
          <w:lang w:val="fi-FI"/>
        </w:rPr>
        <w:t>.</w:t>
      </w:r>
    </w:p>
  </w:footnote>
  <w:footnote w:id="4">
    <w:p w:rsidR="00911575" w:rsidRPr="00BC332C" w:rsidRDefault="00911575" w:rsidP="00BC332C">
      <w:pPr>
        <w:pStyle w:val="FootnoteText"/>
        <w:ind w:left="567" w:hanging="567"/>
        <w:rPr>
          <w:sz w:val="24"/>
          <w:lang w:val="fi-FI"/>
        </w:rPr>
      </w:pPr>
      <w:r w:rsidRPr="00BC332C">
        <w:rPr>
          <w:rStyle w:val="FootnoteReference"/>
          <w:sz w:val="24"/>
          <w:lang w:val="fi-FI"/>
        </w:rPr>
        <w:footnoteRef/>
      </w:r>
      <w:r w:rsidR="00BC332C" w:rsidRPr="00BC332C">
        <w:rPr>
          <w:sz w:val="24"/>
          <w:lang w:val="fi-FI"/>
        </w:rPr>
        <w:t xml:space="preserve"> </w:t>
      </w:r>
      <w:r w:rsidR="00BC332C" w:rsidRPr="00BC332C">
        <w:rPr>
          <w:sz w:val="24"/>
          <w:lang w:val="fi-FI"/>
        </w:rPr>
        <w:tab/>
      </w:r>
      <w:r w:rsidRPr="00BC332C">
        <w:rPr>
          <w:sz w:val="24"/>
          <w:lang w:val="fi-FI"/>
        </w:rPr>
        <w:t>EUVL L 433</w:t>
      </w:r>
      <w:r w:rsidR="00E37DB5">
        <w:rPr>
          <w:sz w:val="24"/>
          <w:lang w:val="fi-FI"/>
        </w:rPr>
        <w:t xml:space="preserve"> I</w:t>
      </w:r>
      <w:r w:rsidRPr="00BC332C">
        <w:rPr>
          <w:sz w:val="24"/>
          <w:lang w:val="fi-FI"/>
        </w:rPr>
        <w:t xml:space="preserve">, 22.12.2020, s. 11, ELI: </w:t>
      </w:r>
      <w:hyperlink r:id="rId4" w:history="1">
        <w:r w:rsidRPr="00BC332C">
          <w:rPr>
            <w:rStyle w:val="Hyperlink"/>
            <w:sz w:val="24"/>
            <w:lang w:val="fi-FI"/>
          </w:rPr>
          <w:t>http://data.europa.eu/eli/reg/2020/2093/oj</w:t>
        </w:r>
      </w:hyperlink>
      <w:r w:rsidRPr="00BC332C">
        <w:rPr>
          <w:sz w:val="24"/>
          <w:lang w:val="fi-FI"/>
        </w:rPr>
        <w:t>.</w:t>
      </w:r>
    </w:p>
  </w:footnote>
  <w:footnote w:id="5">
    <w:p w:rsidR="00911575" w:rsidRPr="00BC332C" w:rsidRDefault="00911575" w:rsidP="00BC332C">
      <w:pPr>
        <w:pStyle w:val="FootnoteText"/>
        <w:ind w:left="567" w:hanging="567"/>
        <w:rPr>
          <w:sz w:val="24"/>
          <w:lang w:val="fi-FI"/>
        </w:rPr>
      </w:pPr>
      <w:r w:rsidRPr="00BC332C">
        <w:rPr>
          <w:rStyle w:val="FootnoteReference"/>
          <w:sz w:val="24"/>
          <w:lang w:val="fi-FI"/>
        </w:rPr>
        <w:footnoteRef/>
      </w:r>
      <w:r w:rsidR="00BC332C" w:rsidRPr="00BC332C">
        <w:rPr>
          <w:sz w:val="24"/>
          <w:lang w:val="fi-FI"/>
        </w:rPr>
        <w:t xml:space="preserve"> </w:t>
      </w:r>
      <w:r w:rsidR="00BC332C" w:rsidRPr="00BC332C">
        <w:rPr>
          <w:sz w:val="24"/>
          <w:lang w:val="fi-FI"/>
        </w:rPr>
        <w:tab/>
      </w:r>
      <w:r w:rsidRPr="00BC332C">
        <w:rPr>
          <w:sz w:val="24"/>
          <w:lang w:val="fi-FI"/>
        </w:rPr>
        <w:t xml:space="preserve">EUVL L 433 I, 22.12.2020, s. 28, ELI: </w:t>
      </w:r>
      <w:hyperlink r:id="rId5" w:history="1">
        <w:r w:rsidRPr="00BC332C">
          <w:rPr>
            <w:rStyle w:val="Hyperlink"/>
            <w:sz w:val="24"/>
            <w:lang w:val="fi-FI"/>
          </w:rPr>
          <w:t>http://data.europa.eu/eli/agree_interinstit/2020/1222/oj</w:t>
        </w:r>
      </w:hyperlink>
      <w:r w:rsidRPr="00BC332C">
        <w:rPr>
          <w:sz w:val="24"/>
          <w:lang w:val="fi-FI"/>
        </w:rPr>
        <w:t>.</w:t>
      </w:r>
    </w:p>
  </w:footnote>
  <w:footnote w:id="6">
    <w:p w:rsidR="00911575" w:rsidRPr="00BC332C" w:rsidRDefault="00911575" w:rsidP="00BC332C">
      <w:pPr>
        <w:pStyle w:val="FootnoteText"/>
        <w:ind w:left="567" w:hanging="567"/>
        <w:rPr>
          <w:sz w:val="24"/>
          <w:lang w:val="fi-FI"/>
        </w:rPr>
      </w:pPr>
      <w:r w:rsidRPr="00BC332C">
        <w:rPr>
          <w:rStyle w:val="FootnoteReference"/>
          <w:sz w:val="24"/>
          <w:lang w:val="fi-FI"/>
        </w:rPr>
        <w:footnoteRef/>
      </w:r>
      <w:r w:rsidR="00BC332C" w:rsidRPr="00BC332C">
        <w:rPr>
          <w:sz w:val="24"/>
          <w:lang w:val="fi-FI"/>
        </w:rPr>
        <w:t xml:space="preserve"> </w:t>
      </w:r>
      <w:r w:rsidR="00BC332C" w:rsidRPr="00BC332C">
        <w:rPr>
          <w:sz w:val="24"/>
          <w:lang w:val="fi-FI"/>
        </w:rPr>
        <w:tab/>
      </w:r>
      <w:r w:rsidRPr="00BC332C">
        <w:rPr>
          <w:sz w:val="24"/>
          <w:lang w:val="fi-FI"/>
        </w:rPr>
        <w:t>EUVL L 424, 15.12.2020,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5/2024"/>
    <w:docVar w:name="dvlangue" w:val="FI"/>
    <w:docVar w:name="dvnumam" w:val="0"/>
    <w:docVar w:name="dvpe" w:val="763.033"/>
    <w:docVar w:name="dvrapporteur" w:val="Esittelijä: "/>
    <w:docVar w:name="dvtitre" w:val="Euroopan parlamentin päätöslauselma xx. lokakuuta 2024 neuvoston kannasta esitykseen Euroopan unionin lisätalousarvioksi nro 2/2024 varainhoitovuodeksi 2024 – Varainhoitovuoden 2023 ylijäämän ottaminen talousarvioon(12081/2024 – C10-0107/2024 – 2024/0089(BUD))"/>
  </w:docVars>
  <w:rsids>
    <w:rsidRoot w:val="00DD408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7430"/>
    <w:rsid w:val="00545827"/>
    <w:rsid w:val="00560270"/>
    <w:rsid w:val="005C2568"/>
    <w:rsid w:val="005F1B17"/>
    <w:rsid w:val="006037C0"/>
    <w:rsid w:val="00646BF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1575"/>
    <w:rsid w:val="00930C23"/>
    <w:rsid w:val="0093193B"/>
    <w:rsid w:val="009509D8"/>
    <w:rsid w:val="00950B64"/>
    <w:rsid w:val="00981893"/>
    <w:rsid w:val="009F5894"/>
    <w:rsid w:val="00A1687D"/>
    <w:rsid w:val="00A43E52"/>
    <w:rsid w:val="00A4678D"/>
    <w:rsid w:val="00A778C7"/>
    <w:rsid w:val="00AB441E"/>
    <w:rsid w:val="00AB6293"/>
    <w:rsid w:val="00AE0928"/>
    <w:rsid w:val="00AF3B82"/>
    <w:rsid w:val="00B12E95"/>
    <w:rsid w:val="00B22876"/>
    <w:rsid w:val="00B558F0"/>
    <w:rsid w:val="00BC332C"/>
    <w:rsid w:val="00BD48FE"/>
    <w:rsid w:val="00BD7BD8"/>
    <w:rsid w:val="00BE6ADC"/>
    <w:rsid w:val="00C05BFE"/>
    <w:rsid w:val="00C23CD4"/>
    <w:rsid w:val="00C61C0C"/>
    <w:rsid w:val="00C7277F"/>
    <w:rsid w:val="00C941CB"/>
    <w:rsid w:val="00CC2357"/>
    <w:rsid w:val="00CF071A"/>
    <w:rsid w:val="00D058B8"/>
    <w:rsid w:val="00D56C11"/>
    <w:rsid w:val="00D834A0"/>
    <w:rsid w:val="00D872DF"/>
    <w:rsid w:val="00D91E21"/>
    <w:rsid w:val="00DA7FCD"/>
    <w:rsid w:val="00DD4084"/>
    <w:rsid w:val="00E365E1"/>
    <w:rsid w:val="00E37DB5"/>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04C878"/>
  <w15:chartTrackingRefBased/>
  <w15:docId w15:val="{C4634400-657C-4C9B-AC43-4965B1C33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7430"/>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11575"/>
    <w:pPr>
      <w:spacing w:before="480" w:after="240"/>
    </w:pPr>
  </w:style>
  <w:style w:type="paragraph" w:customStyle="1" w:styleId="NormalHanging12a">
    <w:name w:val="NormalHanging12a"/>
    <w:basedOn w:val="Normal"/>
    <w:rsid w:val="00911575"/>
    <w:pPr>
      <w:spacing w:after="240"/>
      <w:ind w:left="567" w:hanging="567"/>
    </w:pPr>
  </w:style>
  <w:style w:type="character" w:styleId="Hyperlink">
    <w:name w:val="Hyperlink"/>
    <w:basedOn w:val="DefaultParagraphFont"/>
    <w:rsid w:val="00911575"/>
    <w:rPr>
      <w:color w:val="0563C1" w:themeColor="hyperlink"/>
      <w:u w:val="single"/>
    </w:rPr>
  </w:style>
  <w:style w:type="paragraph" w:styleId="Footer">
    <w:name w:val="footer"/>
    <w:basedOn w:val="Normal"/>
    <w:link w:val="FooterChar"/>
    <w:rsid w:val="00C7277F"/>
    <w:pPr>
      <w:tabs>
        <w:tab w:val="center" w:pos="4513"/>
        <w:tab w:val="right" w:pos="9026"/>
      </w:tabs>
    </w:pPr>
  </w:style>
  <w:style w:type="character" w:customStyle="1" w:styleId="FooterChar">
    <w:name w:val="Footer Char"/>
    <w:basedOn w:val="DefaultParagraphFont"/>
    <w:link w:val="Footer"/>
    <w:rsid w:val="00C7277F"/>
    <w:rPr>
      <w:sz w:val="24"/>
      <w:lang w:val="fi-FI"/>
    </w:rPr>
  </w:style>
  <w:style w:type="character" w:styleId="FollowedHyperlink">
    <w:name w:val="FollowedHyperlink"/>
    <w:basedOn w:val="DefaultParagraphFont"/>
    <w:rsid w:val="00E37D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budget/2024/207/oj" TargetMode="External"/><Relationship Id="rId2" Type="http://schemas.openxmlformats.org/officeDocument/2006/relationships/hyperlink" Target="http://data.europa.eu/eli/reg/2024/2509/oj" TargetMode="External"/><Relationship Id="rId1" Type="http://schemas.openxmlformats.org/officeDocument/2006/relationships/hyperlink" Target="http://data.europa.eu/eli/reg/2018/1046/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0/20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3EB9B-4284-4A65-9CD7-35F1DC795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743</Words>
  <Characters>6081</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2024-11-20T09:17:00Z</dcterms:created>
  <dcterms:modified xsi:type="dcterms:W3CDTF">2024-11-20T09:17:00Z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P10_TA(2024)0023_</vt:lpwstr>
  </property>
  <property fmtid="{D5CDD505-2E9C-101B-9397-08002B2CF9AE}" pid="4" name="&lt;Type&gt;">
    <vt:lpwstr>RR</vt:lpwstr>
  </property>
</Properties>
</file>