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135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1352" w:rsidRDefault="00005213" w:rsidP="0010095E">
            <w:pPr>
              <w:pStyle w:val="EPName"/>
            </w:pPr>
            <w:r w:rsidRPr="000F1352">
              <w:t>Europski parlament</w:t>
            </w:r>
          </w:p>
          <w:p w:rsidR="00751A4A" w:rsidRPr="000F13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1352">
              <w:t>2024</w:t>
            </w:r>
            <w:r w:rsidR="00817416" w:rsidRPr="000F1352">
              <w:t>-202</w:t>
            </w:r>
            <w:r w:rsidRPr="000F135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F1352" w:rsidRDefault="00187494" w:rsidP="0010095E">
            <w:pPr>
              <w:pStyle w:val="EPLogo"/>
            </w:pPr>
            <w:r w:rsidRPr="000F135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1352" w:rsidRDefault="00D058B8" w:rsidP="004C5D52">
      <w:pPr>
        <w:pStyle w:val="LineTop"/>
      </w:pPr>
    </w:p>
    <w:p w:rsidR="00680577" w:rsidRPr="000F1352" w:rsidRDefault="00005213" w:rsidP="00680577">
      <w:pPr>
        <w:pStyle w:val="EPBodyTA1"/>
      </w:pPr>
      <w:r w:rsidRPr="000F1352">
        <w:t>USVOJENI TEKSTOVI</w:t>
      </w:r>
    </w:p>
    <w:p w:rsidR="00D058B8" w:rsidRPr="000F1352" w:rsidRDefault="00D058B8" w:rsidP="00D058B8">
      <w:pPr>
        <w:pStyle w:val="LineBottom"/>
      </w:pPr>
    </w:p>
    <w:p w:rsidR="00005213" w:rsidRPr="000F1352" w:rsidRDefault="00005213" w:rsidP="00005213">
      <w:pPr>
        <w:pStyle w:val="ATHeading1"/>
      </w:pPr>
      <w:bookmarkStart w:id="0" w:name="TANumber"/>
      <w:r w:rsidRPr="000F1352">
        <w:t>P10_TA(2024)00</w:t>
      </w:r>
      <w:r w:rsidR="000F1352" w:rsidRPr="000F1352">
        <w:t>2</w:t>
      </w:r>
      <w:bookmarkEnd w:id="0"/>
      <w:r w:rsidR="000F1352">
        <w:t>3</w:t>
      </w:r>
    </w:p>
    <w:p w:rsidR="00005213" w:rsidRPr="000F1352" w:rsidRDefault="008652BC" w:rsidP="00005213">
      <w:pPr>
        <w:pStyle w:val="ATHeading2"/>
      </w:pPr>
      <w:bookmarkStart w:id="1" w:name="title"/>
      <w:r w:rsidRPr="000F1352">
        <w:rPr>
          <w:bCs/>
        </w:rPr>
        <w:t>Nacrt izmjene proračuna br. 2/2024: unošenje viška iz financijske godine 2023.</w:t>
      </w:r>
      <w:bookmarkEnd w:id="1"/>
    </w:p>
    <w:p w:rsidR="00005213" w:rsidRPr="000F1352" w:rsidRDefault="00005213" w:rsidP="00005213">
      <w:pPr>
        <w:rPr>
          <w:i/>
          <w:vanish/>
        </w:rPr>
      </w:pPr>
      <w:r w:rsidRPr="000F1352">
        <w:rPr>
          <w:i/>
        </w:rPr>
        <w:fldChar w:fldCharType="begin"/>
      </w:r>
      <w:r w:rsidRPr="000F1352">
        <w:rPr>
          <w:i/>
        </w:rPr>
        <w:instrText xml:space="preserve"> TC"(</w:instrText>
      </w:r>
      <w:bookmarkStart w:id="2" w:name="DocNumber"/>
      <w:r w:rsidRPr="000F1352">
        <w:rPr>
          <w:i/>
        </w:rPr>
        <w:instrText>A10-0005/2024</w:instrText>
      </w:r>
      <w:bookmarkEnd w:id="2"/>
      <w:r w:rsidRPr="000F1352">
        <w:rPr>
          <w:i/>
        </w:rPr>
        <w:instrText xml:space="preserve"> - Izvjestitelj: Siegfried Mureşan)"\l3 \n&gt; \* MERGEFORMAT </w:instrText>
      </w:r>
      <w:r w:rsidRPr="000F1352">
        <w:rPr>
          <w:i/>
        </w:rPr>
        <w:fldChar w:fldCharType="end"/>
      </w:r>
    </w:p>
    <w:p w:rsidR="00005213" w:rsidRPr="000F1352" w:rsidRDefault="00005213" w:rsidP="00005213">
      <w:pPr>
        <w:rPr>
          <w:vanish/>
        </w:rPr>
      </w:pPr>
      <w:bookmarkStart w:id="3" w:name="Commission"/>
      <w:r w:rsidRPr="000F1352">
        <w:rPr>
          <w:vanish/>
        </w:rPr>
        <w:t>Odbor za proračune</w:t>
      </w:r>
      <w:bookmarkEnd w:id="3"/>
    </w:p>
    <w:p w:rsidR="00005213" w:rsidRPr="000F1352" w:rsidRDefault="00005213" w:rsidP="00005213">
      <w:pPr>
        <w:rPr>
          <w:vanish/>
        </w:rPr>
      </w:pPr>
      <w:bookmarkStart w:id="4" w:name="PE"/>
      <w:r w:rsidRPr="000F1352">
        <w:rPr>
          <w:vanish/>
        </w:rPr>
        <w:t>PE763.033</w:t>
      </w:r>
      <w:bookmarkEnd w:id="4"/>
    </w:p>
    <w:p w:rsidR="00005213" w:rsidRPr="000F1352" w:rsidRDefault="00005213" w:rsidP="00005213">
      <w:pPr>
        <w:pStyle w:val="ATHeading3"/>
      </w:pPr>
      <w:bookmarkStart w:id="5" w:name="Sujet"/>
      <w:r w:rsidRPr="000F1352">
        <w:t>Rezolucija Europskog parlamenta od</w:t>
      </w:r>
      <w:r w:rsidR="008652BC" w:rsidRPr="000F1352">
        <w:t xml:space="preserve"> 22.</w:t>
      </w:r>
      <w:r w:rsidRPr="000F1352">
        <w:t xml:space="preserve"> </w:t>
      </w:r>
      <w:r w:rsidR="00F66926" w:rsidRPr="000F1352">
        <w:t>listopada</w:t>
      </w:r>
      <w:r w:rsidRPr="000F1352">
        <w:t xml:space="preserve"> 2024. o stajalištu Vijeća o nacrtu izmjene proračuna br. 2/2024 Europske unije za financijsku godinu 2024. kojim se unosi višak iz financijske godine 2023.</w:t>
      </w:r>
      <w:bookmarkEnd w:id="5"/>
      <w:r w:rsidRPr="000F1352">
        <w:t xml:space="preserve"> </w:t>
      </w:r>
      <w:bookmarkStart w:id="6" w:name="References"/>
      <w:r w:rsidRPr="000F1352">
        <w:t>(12081/2024 – C10-0107/2024 – 2024/0089(BUD))</w:t>
      </w:r>
      <w:bookmarkEnd w:id="6"/>
    </w:p>
    <w:p w:rsidR="00E830BE" w:rsidRPr="000F1352" w:rsidRDefault="00E830BE" w:rsidP="00E830BE">
      <w:pPr>
        <w:pStyle w:val="EPComma"/>
      </w:pPr>
      <w:bookmarkStart w:id="7" w:name="TextBodyBegin"/>
      <w:bookmarkEnd w:id="7"/>
      <w:r w:rsidRPr="000F1352">
        <w:rPr>
          <w:i/>
        </w:rPr>
        <w:t>Europski parlament</w:t>
      </w:r>
      <w:r w:rsidRPr="000F1352">
        <w:t>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>uzimajući u obzir članak 314. Ugovora o funkcioniranju Europske unije,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>uzimajući u obzir članak 106.a Ugovora o osnivanju Europske zajednice za atomsku energiju,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 966/2012</w:t>
      </w:r>
      <w:r w:rsidRPr="000F1352">
        <w:rPr>
          <w:rStyle w:val="FootnoteReference"/>
        </w:rPr>
        <w:footnoteReference w:id="1"/>
      </w:r>
      <w:r w:rsidRPr="000F1352">
        <w:t>, a posebno njezin članak 44.,</w:t>
      </w:r>
    </w:p>
    <w:p w:rsidR="008652BC" w:rsidRPr="000F1352" w:rsidRDefault="008652BC" w:rsidP="00E830BE">
      <w:pPr>
        <w:pStyle w:val="NormalHanging12a"/>
      </w:pPr>
      <w:r w:rsidRPr="000F1352">
        <w:t>–</w:t>
      </w:r>
      <w:r w:rsidRPr="000F1352">
        <w:tab/>
        <w:t>uzimajući u obzir Uredbu (EU, Euratom) 2024/2509 Europskog parlamenta i Vijeća od 23. rujna 2024. o financijskim pravilima koja se primjenjuju na opći proračun Unije</w:t>
      </w:r>
      <w:r w:rsidRPr="000F1352">
        <w:rPr>
          <w:rStyle w:val="FootnoteReference"/>
        </w:rPr>
        <w:footnoteReference w:id="2"/>
      </w:r>
      <w:r w:rsidRPr="000F1352">
        <w:t>, a posebno njezin članak 44.,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>uzimajući u obzir opći proračun Europske unije za financijsku godinu 2024., konačno donesen 22. studenoga 2023.</w:t>
      </w:r>
      <w:r w:rsidRPr="000F1352">
        <w:rPr>
          <w:rStyle w:val="FootnoteReference"/>
        </w:rPr>
        <w:footnoteReference w:id="3"/>
      </w:r>
      <w:r w:rsidRPr="000F1352">
        <w:t>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 xml:space="preserve">uzimajući u obzir Uredbu Vijeća (EU, Euratom) 2020/2093 od 17. prosinca 2020. </w:t>
      </w:r>
      <w:r w:rsidRPr="000F1352">
        <w:lastRenderedPageBreak/>
        <w:t>kojom se utvrđuje višegodišnji financijski okvir za razdoblje 2021. – 2027.</w:t>
      </w:r>
      <w:r w:rsidRPr="000F1352">
        <w:rPr>
          <w:rStyle w:val="FootnoteReference"/>
        </w:rPr>
        <w:footnoteReference w:id="4"/>
      </w:r>
      <w:r w:rsidRPr="000F1352">
        <w:t>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 xml:space="preserve">uzimajući u obzir </w:t>
      </w:r>
      <w:proofErr w:type="spellStart"/>
      <w:r w:rsidRPr="000F1352">
        <w:t>Međuinstitucijski</w:t>
      </w:r>
      <w:proofErr w:type="spellEnd"/>
      <w:r w:rsidRPr="000F1352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0F1352">
        <w:rPr>
          <w:rStyle w:val="FootnoteReference"/>
        </w:rPr>
        <w:footnoteReference w:id="5"/>
      </w:r>
      <w:r w:rsidRPr="000F1352">
        <w:t>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</w:r>
      <w:r w:rsidRPr="000F1352">
        <w:rPr>
          <w:snapToGrid w:val="0"/>
        </w:rPr>
        <w:t>uzimajući u obzir Odluku Vijeća</w:t>
      </w:r>
      <w:r w:rsidRPr="000F1352">
        <w:t xml:space="preserve"> (EU, Euratom) 2020/2053 </w:t>
      </w:r>
      <w:r w:rsidRPr="000F1352">
        <w:rPr>
          <w:snapToGrid w:val="0"/>
        </w:rPr>
        <w:t>od 14. prosinca 2020. o sustavu vlastitih sredstava Europske unije te o stavljanju izvan snage Odluke  2014/335/EU, Euratom</w:t>
      </w:r>
      <w:r w:rsidRPr="000F1352">
        <w:rPr>
          <w:rStyle w:val="FootnoteReference"/>
        </w:rPr>
        <w:footnoteReference w:id="6"/>
      </w:r>
      <w:r w:rsidRPr="000F1352">
        <w:t>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>uzimajući u obzir nacrt izmjene proračuna br. 2/2024, koji je Komisija usvojila 9. travnja 2024. (COM(2024)0920),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>uzimajući u obzir stajalište o nacrtu izmjene proračuna br. 2/2024 koje je Vijeće usvojilo 13. rujna 2024. i proslijedilo Europskom parlamentu 16. rujna 2024. (12081/2024 – C10</w:t>
      </w:r>
      <w:r w:rsidRPr="000F1352">
        <w:noBreakHyphen/>
        <w:t>0107/2024),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>uzimajući u obzir članke 96. i 98. Poslovnika,</w:t>
      </w:r>
    </w:p>
    <w:p w:rsidR="00E830BE" w:rsidRPr="000F1352" w:rsidRDefault="00E830BE" w:rsidP="00E830BE">
      <w:pPr>
        <w:pStyle w:val="NormalHanging12a"/>
      </w:pPr>
      <w:r w:rsidRPr="000F1352">
        <w:t>–</w:t>
      </w:r>
      <w:r w:rsidRPr="000F1352">
        <w:tab/>
        <w:t>uzimajući u obzir izvješće Odbora za proračune (A10</w:t>
      </w:r>
      <w:r w:rsidRPr="000F1352">
        <w:noBreakHyphen/>
        <w:t>0005/2024),</w:t>
      </w:r>
    </w:p>
    <w:p w:rsidR="00E830BE" w:rsidRPr="000F1352" w:rsidRDefault="00E830BE" w:rsidP="00E830BE">
      <w:pPr>
        <w:pStyle w:val="NormalHanging12a"/>
      </w:pPr>
      <w:r w:rsidRPr="000F1352">
        <w:t>A.</w:t>
      </w:r>
      <w:r w:rsidRPr="000F1352">
        <w:tab/>
        <w:t>budući da je svrha nacrta izmjene proračuna</w:t>
      </w:r>
      <w:r w:rsidR="0057393D" w:rsidRPr="000F1352">
        <w:t xml:space="preserve"> br. </w:t>
      </w:r>
      <w:r w:rsidRPr="000F1352">
        <w:t>2/2024 unos viška iz financijske godine 2023. u proračun za 2024. godinu u iznosu od 633 milijuna EUR;</w:t>
      </w:r>
    </w:p>
    <w:p w:rsidR="00E830BE" w:rsidRPr="000F1352" w:rsidRDefault="00E830BE" w:rsidP="00E830BE">
      <w:pPr>
        <w:pStyle w:val="NormalHanging12a"/>
      </w:pPr>
      <w:r w:rsidRPr="000F1352">
        <w:t>B.</w:t>
      </w:r>
      <w:r w:rsidRPr="000F1352">
        <w:tab/>
        <w:t>budući da taj višak najvećim dijelom proizlazi iz ostvarenja viška prihoda u iznosu od 238,7 milijuna EUR te nepotrošenih sredstava u iznosu od 393,9 milijuna EUR;</w:t>
      </w:r>
    </w:p>
    <w:p w:rsidR="00E830BE" w:rsidRPr="000F1352" w:rsidRDefault="00E830BE" w:rsidP="00E830BE">
      <w:pPr>
        <w:pStyle w:val="NormalHanging12a"/>
      </w:pPr>
      <w:r w:rsidRPr="000F1352">
        <w:t>C.</w:t>
      </w:r>
      <w:r w:rsidRPr="000F1352">
        <w:tab/>
        <w:t xml:space="preserve">budući da je višak na prihodovnoj strani u iznosu od 1 766 milijuna EUR uglavnom posljedica financijskih prihoda, zateznih kamata i novčanih kazni, dok su carinske pristojbe bile za 1 649 milijuna EUR niže od očekivanih; budući da se višak od 107 milijuna EUR u administrativnim prihodima uglavnom može pripisati većoj stopi mirovinskih doprinosa od očekivane i </w:t>
      </w:r>
      <w:proofErr w:type="spellStart"/>
      <w:r w:rsidRPr="000F1352">
        <w:t>intermedijarnom</w:t>
      </w:r>
      <w:proofErr w:type="spellEnd"/>
      <w:r w:rsidRPr="000F1352">
        <w:t xml:space="preserve"> povećanju plaća u siječnju 2023., čime se povećala razina poreza i pristojbi te mirovinskih doprinosa;</w:t>
      </w:r>
    </w:p>
    <w:p w:rsidR="00E830BE" w:rsidRPr="000F1352" w:rsidRDefault="00E830BE" w:rsidP="00E830BE">
      <w:pPr>
        <w:pStyle w:val="NormalHanging12a"/>
      </w:pPr>
      <w:r w:rsidRPr="000F1352">
        <w:t>D.</w:t>
      </w:r>
      <w:r w:rsidRPr="000F1352">
        <w:tab/>
        <w:t>budući da je na rashodovnoj strani nedovoljno izvršavanje plaćanja u Komisiji dosegnulo iznos od 70 milijuna EUR (0,1 % odobrenih sredstava za plaćanje); budući da su druge institucije otkazale 48 milijuna EUR u plaćanjima, čime je zadržana niska razina neiskorištenosti sredstava u proračunu za 2022.;</w:t>
      </w:r>
    </w:p>
    <w:p w:rsidR="00E830BE" w:rsidRPr="000F1352" w:rsidRDefault="00E830BE" w:rsidP="000F1352">
      <w:pPr>
        <w:widowControl/>
        <w:spacing w:before="120" w:after="120"/>
        <w:ind w:left="567" w:hanging="567"/>
      </w:pPr>
      <w:r w:rsidRPr="000F1352">
        <w:t>E.</w:t>
      </w:r>
      <w:r w:rsidRPr="000F1352">
        <w:tab/>
        <w:t xml:space="preserve">budući da prema nacrtu izmjene proračuna </w:t>
      </w:r>
      <w:r w:rsidR="0057393D" w:rsidRPr="000F1352">
        <w:t xml:space="preserve">br. </w:t>
      </w:r>
      <w:r w:rsidRPr="000F1352">
        <w:t xml:space="preserve">2/2024 godišnja smanjenja paušalnog iznosa BND-a za Njemačku, Nizozemsku, Dansku, Švedsku i Austriju iznose oko 5,4 milijarde EUR neto; </w:t>
      </w:r>
    </w:p>
    <w:p w:rsidR="00E830BE" w:rsidRPr="000F1352" w:rsidRDefault="00E830BE" w:rsidP="00FD0C84">
      <w:pPr>
        <w:spacing w:after="240"/>
        <w:ind w:left="567" w:hanging="567"/>
        <w:rPr>
          <w:szCs w:val="24"/>
        </w:rPr>
      </w:pPr>
      <w:r w:rsidRPr="000F1352">
        <w:t>F.</w:t>
      </w:r>
      <w:r w:rsidRPr="000F1352">
        <w:tab/>
        <w:t xml:space="preserve">budući da, unatoč reviziji višegodišnjeg financijskog okvira (VFO) i uvođenju novog instrumenta za pokrivanje povećanih troškova zaduživanja za Instrument Europske unije za oporavak (EURI), u proračunu Unije i dalje postoje vrlo ograničene razlike do </w:t>
      </w:r>
      <w:r w:rsidRPr="000F1352">
        <w:lastRenderedPageBreak/>
        <w:t>gornjih granica i slaba fleksibilnost, koji su po svojoj prirodi nestabilni i stvaraju neizvjesnost za pr</w:t>
      </w:r>
      <w:bookmarkStart w:id="8" w:name="_GoBack"/>
      <w:bookmarkEnd w:id="8"/>
      <w:r w:rsidRPr="000F1352">
        <w:t>oračun; budući da se u tom zahtjevnom kontekstu proračunske potrebe povećavaju;</w:t>
      </w:r>
    </w:p>
    <w:p w:rsidR="00E830BE" w:rsidRPr="000F1352" w:rsidRDefault="00E830BE" w:rsidP="00E830BE">
      <w:pPr>
        <w:pStyle w:val="NormalHanging12a"/>
      </w:pPr>
      <w:r w:rsidRPr="000F1352">
        <w:t>1.</w:t>
      </w:r>
      <w:r w:rsidRPr="000F1352">
        <w:tab/>
        <w:t xml:space="preserve">prima na znanje nacrt izmjene proračuna </w:t>
      </w:r>
      <w:r w:rsidR="008652BC" w:rsidRPr="000F1352">
        <w:t xml:space="preserve">br. </w:t>
      </w:r>
      <w:r w:rsidRPr="000F1352">
        <w:t>2/2024 koji je podnijela Komisija i kojemu je svrha unošenje viška u iznosu od 633 milijuna EUR iz 2023. godine u proračun, u skladu s člankom 18. stavkom 3. Financijske uredbe;</w:t>
      </w:r>
    </w:p>
    <w:p w:rsidR="00E830BE" w:rsidRPr="000F1352" w:rsidRDefault="00E830BE" w:rsidP="00E830BE">
      <w:pPr>
        <w:pStyle w:val="NormalHanging12a"/>
      </w:pPr>
      <w:r w:rsidRPr="000F1352">
        <w:t>2.</w:t>
      </w:r>
      <w:r w:rsidRPr="000F1352">
        <w:tab/>
        <w:t xml:space="preserve">pozdravlja činjenicu da je višak za 2023. znatno niži od viška iz 2022., što upućuje na bolje proračunsko predviđanje i bolje upravljanje Komisije; </w:t>
      </w:r>
    </w:p>
    <w:p w:rsidR="00E830BE" w:rsidRPr="000F1352" w:rsidRDefault="00E830BE" w:rsidP="00E830BE">
      <w:pPr>
        <w:pStyle w:val="NormalHanging12a"/>
      </w:pPr>
      <w:r w:rsidRPr="000F1352">
        <w:t>3.</w:t>
      </w:r>
      <w:r w:rsidRPr="000F1352">
        <w:tab/>
        <w:t>ističe da višak smanjuje ukupni doprinos država članica financiranju proračuna za 2024. u vrijeme kada su potrebe za financiranjem i dalje velike, a manevarski prostor unutar proračuna Unije iznimno ograničen; ističe da proračun mora zadržati dovoljnu fleksibilnost kako bi se Uniji omogućilo da se nosi s nepredviđenim događajima i novim prioritetima;</w:t>
      </w:r>
    </w:p>
    <w:p w:rsidR="00E830BE" w:rsidRPr="000F1352" w:rsidRDefault="00E830BE" w:rsidP="00E830BE">
      <w:pPr>
        <w:pStyle w:val="NormalHanging12a"/>
      </w:pPr>
      <w:r w:rsidRPr="000F1352">
        <w:t>4.</w:t>
      </w:r>
      <w:r w:rsidRPr="000F1352">
        <w:tab/>
        <w:t>ponavlja svoje dugogodišnje stajalište da bi se novčane kazne i naknade trebale koristiti kao dodatni prihod za proračun Unije i da ne bi trebale biti razlog da se za odgovarajući iznos smanje doprinosi na temelju BND-a;</w:t>
      </w:r>
    </w:p>
    <w:p w:rsidR="00E830BE" w:rsidRPr="000F1352" w:rsidRDefault="00E830BE" w:rsidP="00E830BE">
      <w:pPr>
        <w:widowControl/>
        <w:spacing w:before="120" w:after="120"/>
        <w:ind w:left="567" w:hanging="567"/>
      </w:pPr>
      <w:r w:rsidRPr="000F1352">
        <w:t>5.</w:t>
      </w:r>
      <w:r w:rsidRPr="000F1352">
        <w:tab/>
        <w:t>prima na znanje izračun prilagođenog godišnjeg paušalnog smanjenja BND-a za pet država članica korisnica, koje iznosi oko 5,4 milijarde EUR neto; ističe činjenicu da su ti rabati povezani s inflacijom te su se stoga povećali po višoj stopi od gornjih granica VFO-a, koje se svake godine prilagođavaju na temelju deflatora od 2 %; naglašava da ta nepravilnost povećava opterećenje drugih država članica;</w:t>
      </w:r>
    </w:p>
    <w:p w:rsidR="00E830BE" w:rsidRPr="000F1352" w:rsidRDefault="00E830BE" w:rsidP="00E830BE">
      <w:pPr>
        <w:pStyle w:val="NormalHanging12a"/>
        <w:rPr>
          <w:szCs w:val="24"/>
        </w:rPr>
      </w:pPr>
      <w:r w:rsidRPr="000F1352">
        <w:t>6.</w:t>
      </w:r>
      <w:r w:rsidRPr="000F1352">
        <w:tab/>
        <w:t xml:space="preserve">naglašava potrebu za održivim prihodima za proračun Unije; stoga žali zbog izostanka napretka u Vijeću u pogledu reforme sustava vlastitih sredstava </w:t>
      </w:r>
      <w:r w:rsidRPr="000F1352">
        <w:rPr>
          <w:color w:val="1E1E1F"/>
          <w:shd w:val="clear" w:color="auto" w:fill="FFFFFF"/>
        </w:rPr>
        <w:t xml:space="preserve">u skladu s planom iz </w:t>
      </w:r>
      <w:proofErr w:type="spellStart"/>
      <w:r w:rsidRPr="000F1352">
        <w:rPr>
          <w:color w:val="1E1E1F"/>
          <w:shd w:val="clear" w:color="auto" w:fill="FFFFFF"/>
        </w:rPr>
        <w:t>Međuinstitucijskog</w:t>
      </w:r>
      <w:proofErr w:type="spellEnd"/>
      <w:r w:rsidRPr="000F1352">
        <w:rPr>
          <w:color w:val="1E1E1F"/>
          <w:shd w:val="clear" w:color="auto" w:fill="FFFFFF"/>
        </w:rPr>
        <w:t xml:space="preserve"> sporazuma; podsjeća</w:t>
      </w:r>
      <w:r w:rsidRPr="000F1352">
        <w:t xml:space="preserve"> na svoje stajalište kojim podupire izmijenjene prijedloge Komisije i </w:t>
      </w:r>
      <w:r w:rsidRPr="000F1352">
        <w:rPr>
          <w:color w:val="1E1E1F"/>
          <w:shd w:val="clear" w:color="auto" w:fill="FFFFFF"/>
        </w:rPr>
        <w:t>potiče</w:t>
      </w:r>
      <w:r w:rsidRPr="000F1352">
        <w:t xml:space="preserve"> Vijeće da brzo usvoji te prijedloge kako bi se povećala vlastita sredstva dostupna proračunu Unije;</w:t>
      </w:r>
    </w:p>
    <w:p w:rsidR="00E830BE" w:rsidRPr="000F1352" w:rsidRDefault="00E830BE" w:rsidP="00E830BE">
      <w:pPr>
        <w:pStyle w:val="NormalHanging12a"/>
      </w:pPr>
      <w:r w:rsidRPr="000F1352">
        <w:t>7.</w:t>
      </w:r>
      <w:r w:rsidRPr="000F1352">
        <w:tab/>
        <w:t xml:space="preserve">prihvaća stajalište Vijeća o </w:t>
      </w:r>
      <w:r w:rsidR="0057393D" w:rsidRPr="000F1352">
        <w:t>n</w:t>
      </w:r>
      <w:r w:rsidRPr="000F1352">
        <w:t>acrtu izmjene proračuna br. 2/2024;</w:t>
      </w:r>
    </w:p>
    <w:p w:rsidR="00E830BE" w:rsidRPr="000F1352" w:rsidRDefault="00E830BE" w:rsidP="00E830BE">
      <w:pPr>
        <w:pStyle w:val="NormalHanging12a"/>
      </w:pPr>
      <w:r w:rsidRPr="000F1352">
        <w:t>8.</w:t>
      </w:r>
      <w:r w:rsidRPr="000F1352">
        <w:tab/>
        <w:t>nalaže svojoj predsjednici da proglasi izmjenu proračuna br. </w:t>
      </w:r>
      <w:r w:rsidR="008652BC" w:rsidRPr="000F1352">
        <w:t>3</w:t>
      </w:r>
      <w:r w:rsidRPr="000F1352">
        <w:t xml:space="preserve">/2024 konačno donesenom i da je da na objavu u </w:t>
      </w:r>
      <w:r w:rsidRPr="000F1352">
        <w:rPr>
          <w:i/>
        </w:rPr>
        <w:t>Službenom listu Europske unije</w:t>
      </w:r>
      <w:r w:rsidRPr="000F1352">
        <w:t>;</w:t>
      </w:r>
    </w:p>
    <w:p w:rsidR="00E830BE" w:rsidRPr="000F1352" w:rsidRDefault="00E830BE" w:rsidP="00E830BE">
      <w:pPr>
        <w:pStyle w:val="NormalHanging12a"/>
      </w:pPr>
      <w:r w:rsidRPr="000F1352">
        <w:t>9.</w:t>
      </w:r>
      <w:r w:rsidRPr="000F1352">
        <w:tab/>
        <w:t>nalaže svojoj predsjednici da ovu Rezoluciju proslijedi Vijeću i Komisiji, drugim relevantnim institucijama i tijelima te nacionalnim parlamentima.</w:t>
      </w:r>
    </w:p>
    <w:p w:rsidR="00E830BE" w:rsidRPr="000F1352" w:rsidRDefault="00E830BE" w:rsidP="00E830BE"/>
    <w:p w:rsidR="00E830BE" w:rsidRPr="000F1352" w:rsidRDefault="00E830BE" w:rsidP="00E830BE"/>
    <w:p w:rsidR="00E365E1" w:rsidRPr="000F1352" w:rsidRDefault="00E365E1" w:rsidP="00005213">
      <w:bookmarkStart w:id="9" w:name="TextBodyEnd"/>
      <w:bookmarkEnd w:id="9"/>
    </w:p>
    <w:sectPr w:rsidR="00E365E1" w:rsidRPr="000F1352" w:rsidSect="00102C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213" w:rsidRPr="00102C04" w:rsidRDefault="00005213">
      <w:r w:rsidRPr="00102C04">
        <w:separator/>
      </w:r>
    </w:p>
  </w:endnote>
  <w:endnote w:type="continuationSeparator" w:id="0">
    <w:p w:rsidR="00005213" w:rsidRPr="00102C04" w:rsidRDefault="00005213">
      <w:r w:rsidRPr="00102C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2C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2C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2C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213" w:rsidRPr="00102C04" w:rsidRDefault="00005213">
      <w:r w:rsidRPr="00102C04">
        <w:separator/>
      </w:r>
    </w:p>
  </w:footnote>
  <w:footnote w:type="continuationSeparator" w:id="0">
    <w:p w:rsidR="00005213" w:rsidRPr="00102C04" w:rsidRDefault="00005213">
      <w:r w:rsidRPr="00102C04">
        <w:continuationSeparator/>
      </w:r>
    </w:p>
  </w:footnote>
  <w:footnote w:id="1">
    <w:p w:rsidR="00E830BE" w:rsidRPr="00102C04" w:rsidRDefault="00E830BE" w:rsidP="00102C04">
      <w:pPr>
        <w:pStyle w:val="FootnoteText"/>
        <w:ind w:left="567" w:hanging="567"/>
        <w:rPr>
          <w:sz w:val="24"/>
          <w:lang w:val="hr-HR"/>
        </w:rPr>
      </w:pPr>
      <w:r w:rsidRPr="00102C04">
        <w:rPr>
          <w:rStyle w:val="FootnoteReference"/>
          <w:sz w:val="24"/>
          <w:lang w:val="hr-HR"/>
        </w:rPr>
        <w:footnoteRef/>
      </w:r>
      <w:r w:rsidR="00102C04" w:rsidRPr="00102C04">
        <w:rPr>
          <w:sz w:val="24"/>
          <w:lang w:val="hr-HR"/>
        </w:rPr>
        <w:t xml:space="preserve"> </w:t>
      </w:r>
      <w:r w:rsidR="00102C04" w:rsidRPr="00102C04">
        <w:rPr>
          <w:sz w:val="24"/>
          <w:lang w:val="hr-HR"/>
        </w:rPr>
        <w:tab/>
      </w:r>
      <w:r w:rsidRPr="00102C04">
        <w:rPr>
          <w:sz w:val="24"/>
          <w:lang w:val="hr-HR"/>
        </w:rPr>
        <w:t xml:space="preserve">SL L 193, 30.7.2018., str. 1., ELI: </w:t>
      </w:r>
      <w:hyperlink r:id="rId1" w:history="1">
        <w:r w:rsidRPr="00102C04">
          <w:rPr>
            <w:rStyle w:val="Hyperlink"/>
            <w:sz w:val="24"/>
            <w:lang w:val="hr-HR"/>
          </w:rPr>
          <w:t>http://data.europa.eu/eli/reg/2018/1046/oj?locale=hr</w:t>
        </w:r>
      </w:hyperlink>
      <w:r w:rsidRPr="00102C04">
        <w:rPr>
          <w:sz w:val="24"/>
          <w:lang w:val="hr-HR"/>
        </w:rPr>
        <w:t>.</w:t>
      </w:r>
    </w:p>
  </w:footnote>
  <w:footnote w:id="2">
    <w:p w:rsidR="008652BC" w:rsidRPr="000F1352" w:rsidRDefault="008652BC" w:rsidP="000F1352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 w:rsidRPr="00FD0C84">
        <w:rPr>
          <w:lang w:val="fi-FI"/>
        </w:rPr>
        <w:t xml:space="preserve"> </w:t>
      </w:r>
      <w:r w:rsidRPr="00FD0C84">
        <w:rPr>
          <w:lang w:val="fi-FI"/>
        </w:rPr>
        <w:tab/>
      </w:r>
      <w:r w:rsidRPr="00FD0C84">
        <w:rPr>
          <w:sz w:val="24"/>
          <w:szCs w:val="24"/>
          <w:lang w:val="fi-FI"/>
        </w:rPr>
        <w:t>SL</w:t>
      </w:r>
      <w:r w:rsidRPr="008652BC">
        <w:rPr>
          <w:sz w:val="24"/>
          <w:szCs w:val="24"/>
          <w:lang w:val="fi-FI"/>
        </w:rPr>
        <w:t xml:space="preserve"> L, 2024/2509, 26.9.2024, ELI: </w:t>
      </w:r>
      <w:hyperlink r:id="rId2" w:history="1">
        <w:r w:rsidRPr="00FD0C84">
          <w:rPr>
            <w:rStyle w:val="Hyperlink"/>
            <w:lang w:val="fi-FI"/>
          </w:rPr>
          <w:t>http://data.europa.eu/eli/reg/2024/2509/oj</w:t>
        </w:r>
      </w:hyperlink>
    </w:p>
  </w:footnote>
  <w:footnote w:id="3">
    <w:p w:rsidR="00E830BE" w:rsidRPr="00102C04" w:rsidRDefault="00E830BE" w:rsidP="00102C04">
      <w:pPr>
        <w:pStyle w:val="FootnoteText"/>
        <w:ind w:left="567" w:hanging="567"/>
        <w:rPr>
          <w:sz w:val="24"/>
          <w:lang w:val="hr-HR"/>
        </w:rPr>
      </w:pPr>
      <w:r w:rsidRPr="00102C04">
        <w:rPr>
          <w:rStyle w:val="FootnoteReference"/>
          <w:sz w:val="24"/>
          <w:lang w:val="hr-HR"/>
        </w:rPr>
        <w:footnoteRef/>
      </w:r>
      <w:r w:rsidR="00102C04" w:rsidRPr="00102C04">
        <w:rPr>
          <w:sz w:val="24"/>
          <w:lang w:val="hr-HR"/>
        </w:rPr>
        <w:t xml:space="preserve"> </w:t>
      </w:r>
      <w:r w:rsidR="00102C04" w:rsidRPr="00102C04">
        <w:rPr>
          <w:sz w:val="24"/>
          <w:lang w:val="hr-HR"/>
        </w:rPr>
        <w:tab/>
      </w:r>
      <w:r w:rsidRPr="00102C04">
        <w:rPr>
          <w:sz w:val="24"/>
          <w:lang w:val="hr-HR"/>
        </w:rPr>
        <w:t xml:space="preserve">SL L, 2024/207, 22.2.2024., ELI: </w:t>
      </w:r>
      <w:r w:rsidR="00FD0C84">
        <w:fldChar w:fldCharType="begin"/>
      </w:r>
      <w:r w:rsidR="00FD0C84" w:rsidRPr="00FD0C84">
        <w:rPr>
          <w:lang w:val="fi-FI"/>
        </w:rPr>
        <w:instrText xml:space="preserve"> HYPERLINK "https://eur-le</w:instrText>
      </w:r>
      <w:r w:rsidR="00FD0C84" w:rsidRPr="00FD0C84">
        <w:rPr>
          <w:lang w:val="fi-FI"/>
        </w:rPr>
        <w:instrText xml:space="preserve">x.europa.eu/eli/budget/2024/207/oj?locale=hr" </w:instrText>
      </w:r>
      <w:r w:rsidR="00FD0C84">
        <w:fldChar w:fldCharType="separate"/>
      </w:r>
      <w:r w:rsidRPr="00102C04">
        <w:rPr>
          <w:rStyle w:val="Hyperlink"/>
          <w:sz w:val="24"/>
          <w:lang w:val="hr-HR"/>
        </w:rPr>
        <w:t>https://eur-lex.europa.eu/eli/budget/2024/207/oj?locale=hr</w:t>
      </w:r>
      <w:r w:rsidR="00FD0C84">
        <w:rPr>
          <w:rStyle w:val="Hyperlink"/>
          <w:sz w:val="24"/>
          <w:lang w:val="hr-HR"/>
        </w:rPr>
        <w:fldChar w:fldCharType="end"/>
      </w:r>
      <w:r w:rsidRPr="00102C04">
        <w:rPr>
          <w:sz w:val="24"/>
          <w:lang w:val="hr-HR"/>
        </w:rPr>
        <w:t>.</w:t>
      </w:r>
    </w:p>
  </w:footnote>
  <w:footnote w:id="4">
    <w:p w:rsidR="00E830BE" w:rsidRPr="00102C04" w:rsidRDefault="00E830BE" w:rsidP="00102C04">
      <w:pPr>
        <w:pStyle w:val="FootnoteText"/>
        <w:ind w:left="567" w:hanging="567"/>
        <w:rPr>
          <w:sz w:val="24"/>
          <w:lang w:val="hr-HR"/>
        </w:rPr>
      </w:pPr>
      <w:r w:rsidRPr="00102C04">
        <w:rPr>
          <w:rStyle w:val="FootnoteReference"/>
          <w:sz w:val="24"/>
          <w:lang w:val="hr-HR"/>
        </w:rPr>
        <w:footnoteRef/>
      </w:r>
      <w:r w:rsidR="00102C04" w:rsidRPr="00102C04">
        <w:rPr>
          <w:sz w:val="24"/>
          <w:lang w:val="hr-HR"/>
        </w:rPr>
        <w:t xml:space="preserve"> </w:t>
      </w:r>
      <w:r w:rsidR="00102C04" w:rsidRPr="00102C04">
        <w:rPr>
          <w:sz w:val="24"/>
          <w:lang w:val="hr-HR"/>
        </w:rPr>
        <w:tab/>
      </w:r>
      <w:r w:rsidRPr="00102C04">
        <w:rPr>
          <w:sz w:val="24"/>
          <w:lang w:val="hr-HR"/>
        </w:rPr>
        <w:t xml:space="preserve">SL L 433 I, 22.12.2020., str. 11., ELI: </w:t>
      </w:r>
      <w:r w:rsidR="00FD0C84">
        <w:fldChar w:fldCharType="begin"/>
      </w:r>
      <w:r w:rsidR="00FD0C84" w:rsidRPr="00FD0C84">
        <w:rPr>
          <w:lang w:val="hr-HR"/>
        </w:rPr>
        <w:instrText xml:space="preserve"> HYPERLINK "https://eur-lex.europa.eu/eli/reg/2020/2093/oj?locale=hr" </w:instrText>
      </w:r>
      <w:r w:rsidR="00FD0C84">
        <w:fldChar w:fldCharType="separate"/>
      </w:r>
      <w:r w:rsidRPr="00102C04">
        <w:rPr>
          <w:rStyle w:val="Hyperlink"/>
          <w:sz w:val="24"/>
          <w:lang w:val="hr-HR"/>
        </w:rPr>
        <w:t>https://eur-lex.europa.eu/eli/reg/2020/2093/oj?locale=hr</w:t>
      </w:r>
      <w:r w:rsidR="00FD0C84">
        <w:rPr>
          <w:rStyle w:val="Hyperlink"/>
          <w:sz w:val="24"/>
          <w:lang w:val="hr-HR"/>
        </w:rPr>
        <w:fldChar w:fldCharType="end"/>
      </w:r>
      <w:r w:rsidRPr="00102C04">
        <w:rPr>
          <w:sz w:val="24"/>
          <w:lang w:val="hr-HR"/>
        </w:rPr>
        <w:t>.</w:t>
      </w:r>
    </w:p>
  </w:footnote>
  <w:footnote w:id="5">
    <w:p w:rsidR="00E830BE" w:rsidRPr="00102C04" w:rsidRDefault="00E830BE" w:rsidP="00102C04">
      <w:pPr>
        <w:pStyle w:val="FootnoteText"/>
        <w:ind w:left="567" w:hanging="567"/>
        <w:rPr>
          <w:sz w:val="24"/>
          <w:lang w:val="hr-HR"/>
        </w:rPr>
      </w:pPr>
      <w:r w:rsidRPr="00102C04">
        <w:rPr>
          <w:rStyle w:val="FootnoteReference"/>
          <w:sz w:val="24"/>
          <w:lang w:val="hr-HR"/>
        </w:rPr>
        <w:footnoteRef/>
      </w:r>
      <w:r w:rsidR="00102C04" w:rsidRPr="00102C04">
        <w:rPr>
          <w:sz w:val="24"/>
          <w:lang w:val="hr-HR"/>
        </w:rPr>
        <w:t xml:space="preserve"> </w:t>
      </w:r>
      <w:r w:rsidR="00102C04" w:rsidRPr="00102C04">
        <w:rPr>
          <w:sz w:val="24"/>
          <w:lang w:val="hr-HR"/>
        </w:rPr>
        <w:tab/>
      </w:r>
      <w:r w:rsidRPr="00102C04">
        <w:rPr>
          <w:sz w:val="24"/>
          <w:lang w:val="hr-HR"/>
        </w:rPr>
        <w:t xml:space="preserve">SL L 433 I, 22.12.2020., str. 28., ELI: </w:t>
      </w:r>
      <w:r w:rsidR="00FD0C84">
        <w:fldChar w:fldCharType="begin"/>
      </w:r>
      <w:r w:rsidR="00FD0C84" w:rsidRPr="00FD0C84">
        <w:rPr>
          <w:lang w:val="hr-HR"/>
        </w:rPr>
        <w:instrText xml:space="preserve"> HYPERLINK "https://eur-lex.europa.eu/eli/agree_interinstit/2020/1222/oj?locale=hr" </w:instrText>
      </w:r>
      <w:r w:rsidR="00FD0C84">
        <w:fldChar w:fldCharType="separate"/>
      </w:r>
      <w:r w:rsidRPr="00102C04">
        <w:rPr>
          <w:rStyle w:val="Hyperlink"/>
          <w:sz w:val="24"/>
          <w:lang w:val="hr-HR"/>
        </w:rPr>
        <w:t>https://eur-lex.europa.eu/eli/agree_interinstit/2020/1222/oj?locale=hr</w:t>
      </w:r>
      <w:r w:rsidR="00FD0C84">
        <w:rPr>
          <w:rStyle w:val="Hyperlink"/>
          <w:sz w:val="24"/>
          <w:lang w:val="hr-HR"/>
        </w:rPr>
        <w:fldChar w:fldCharType="end"/>
      </w:r>
      <w:r w:rsidRPr="00102C04">
        <w:rPr>
          <w:sz w:val="24"/>
          <w:lang w:val="hr-HR"/>
        </w:rPr>
        <w:t>.</w:t>
      </w:r>
    </w:p>
  </w:footnote>
  <w:footnote w:id="6">
    <w:p w:rsidR="00E830BE" w:rsidRPr="00102C04" w:rsidRDefault="00E830BE" w:rsidP="00102C04">
      <w:pPr>
        <w:pStyle w:val="FootnoteText"/>
        <w:ind w:left="567" w:hanging="567"/>
        <w:rPr>
          <w:sz w:val="24"/>
          <w:lang w:val="hr-HR"/>
        </w:rPr>
      </w:pPr>
      <w:r w:rsidRPr="00102C04">
        <w:rPr>
          <w:rStyle w:val="FootnoteReference"/>
          <w:sz w:val="24"/>
          <w:lang w:val="hr-HR"/>
        </w:rPr>
        <w:footnoteRef/>
      </w:r>
      <w:r w:rsidR="00102C04" w:rsidRPr="00102C04">
        <w:rPr>
          <w:sz w:val="24"/>
          <w:lang w:val="hr-HR"/>
        </w:rPr>
        <w:t xml:space="preserve"> </w:t>
      </w:r>
      <w:r w:rsidR="00102C04" w:rsidRPr="00102C04">
        <w:rPr>
          <w:sz w:val="24"/>
          <w:lang w:val="hr-HR"/>
        </w:rPr>
        <w:tab/>
      </w:r>
      <w:r w:rsidRPr="00102C04">
        <w:rPr>
          <w:sz w:val="24"/>
          <w:lang w:val="hr-HR"/>
        </w:rPr>
        <w:t>SL L 424, 15.12.2020., str. 1.</w:t>
      </w:r>
      <w:r w:rsidR="006832A3">
        <w:rPr>
          <w:sz w:val="24"/>
          <w:lang w:val="hr-HR"/>
        </w:rPr>
        <w:t>,</w:t>
      </w:r>
      <w:r w:rsidR="006832A3" w:rsidRPr="00FD0C84">
        <w:rPr>
          <w:lang w:val="fi-FI"/>
        </w:rPr>
        <w:t xml:space="preserve"> </w:t>
      </w:r>
      <w:r w:rsidR="006832A3" w:rsidRPr="006832A3">
        <w:rPr>
          <w:sz w:val="24"/>
          <w:lang w:val="hr-HR"/>
        </w:rPr>
        <w:t>ELI: http://data.europa.eu/eli/dec/2020/2053/oj.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2C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2C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2C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HR"/>
    <w:docVar w:name="dvnumam" w:val="0"/>
    <w:docVar w:name="dvpe" w:val="763.033"/>
    <w:docVar w:name="dvrapporteur" w:val="Izvjestitelj: "/>
    <w:docVar w:name="dvtitre" w:val="Rezolucija Europskog parlamenta od .... 2024. o stajalištu Vijeća o nacrtu izmjene proračuna br. 2/2024 Europske unije za financijsku godinu 2024. kojim se unosi višak iz financijske godine 2023.(12081/2024 – C10-0107/2024 – 2024/0089(BUD))"/>
  </w:docVars>
  <w:rsids>
    <w:rsidRoot w:val="00005213"/>
    <w:rsid w:val="00002272"/>
    <w:rsid w:val="00005213"/>
    <w:rsid w:val="00064002"/>
    <w:rsid w:val="000677B9"/>
    <w:rsid w:val="000831BA"/>
    <w:rsid w:val="000A42CC"/>
    <w:rsid w:val="000E7DD9"/>
    <w:rsid w:val="000F1352"/>
    <w:rsid w:val="0010095E"/>
    <w:rsid w:val="00102C04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93D"/>
    <w:rsid w:val="005C2568"/>
    <w:rsid w:val="005F1B17"/>
    <w:rsid w:val="006037C0"/>
    <w:rsid w:val="006631B6"/>
    <w:rsid w:val="00680577"/>
    <w:rsid w:val="006832A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2B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0BE"/>
    <w:rsid w:val="00EB006A"/>
    <w:rsid w:val="00EB4772"/>
    <w:rsid w:val="00ED169E"/>
    <w:rsid w:val="00ED4235"/>
    <w:rsid w:val="00F04346"/>
    <w:rsid w:val="00F075DC"/>
    <w:rsid w:val="00F149E9"/>
    <w:rsid w:val="00F5134D"/>
    <w:rsid w:val="00F66926"/>
    <w:rsid w:val="00F74202"/>
    <w:rsid w:val="00F87713"/>
    <w:rsid w:val="00FB4360"/>
    <w:rsid w:val="00FD0C70"/>
    <w:rsid w:val="00FD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B1EE3-2463-4D35-983D-2C6D59B5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30BE"/>
    <w:pPr>
      <w:spacing w:before="480" w:after="240"/>
    </w:pPr>
  </w:style>
  <w:style w:type="paragraph" w:customStyle="1" w:styleId="NormalHanging12a">
    <w:name w:val="NormalHanging12a"/>
    <w:basedOn w:val="Normal"/>
    <w:rsid w:val="00E830B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830B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652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52BC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8652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?locale=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F0CC6-67E4-4973-B352-14AF61E8D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928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2024-11-21T13:50:00Z</dcterms:created>
  <dcterms:modified xsi:type="dcterms:W3CDTF">2024-11-21T13:50:00Z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P10_TA(2024)0023_</vt:lpwstr>
  </property>
  <property fmtid="{D5CDD505-2E9C-101B-9397-08002B2CF9AE}" pid="4" name="&lt;Type&gt;">
    <vt:lpwstr>RR</vt:lpwstr>
  </property>
</Properties>
</file>