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0E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0E12" w:rsidRDefault="005E0AF5" w:rsidP="0010095E">
            <w:pPr>
              <w:pStyle w:val="EPName"/>
            </w:pPr>
            <w:r w:rsidRPr="00440E12">
              <w:t>Európai Parlament</w:t>
            </w:r>
          </w:p>
          <w:p w:rsidR="00751A4A" w:rsidRPr="00440E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0E12">
              <w:t>2024</w:t>
            </w:r>
            <w:r w:rsidR="00817416" w:rsidRPr="00440E12">
              <w:t>-202</w:t>
            </w:r>
            <w:r w:rsidRPr="00440E1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40E12" w:rsidRDefault="00187494" w:rsidP="0010095E">
            <w:pPr>
              <w:pStyle w:val="EPLogo"/>
            </w:pPr>
            <w:r w:rsidRPr="00440E12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0E12" w:rsidRDefault="00D058B8" w:rsidP="004C5D52">
      <w:pPr>
        <w:pStyle w:val="LineTop"/>
      </w:pPr>
    </w:p>
    <w:p w:rsidR="00680577" w:rsidRPr="00440E12" w:rsidRDefault="005E0AF5" w:rsidP="00680577">
      <w:pPr>
        <w:pStyle w:val="EPBodyTA1"/>
      </w:pPr>
      <w:r w:rsidRPr="00440E12">
        <w:t>ELFOGADOTT SZÖVEGEK</w:t>
      </w:r>
    </w:p>
    <w:p w:rsidR="00D058B8" w:rsidRPr="00440E12" w:rsidRDefault="00D058B8" w:rsidP="00D058B8">
      <w:pPr>
        <w:pStyle w:val="LineBottom"/>
      </w:pPr>
    </w:p>
    <w:p w:rsidR="005E0AF5" w:rsidRPr="00440E12" w:rsidRDefault="005E0AF5" w:rsidP="005E0AF5">
      <w:pPr>
        <w:pStyle w:val="ATHeading1"/>
      </w:pPr>
      <w:bookmarkStart w:id="0" w:name="TANumber"/>
      <w:r w:rsidRPr="00440E12">
        <w:t>P10_TA(2024)00</w:t>
      </w:r>
      <w:r w:rsidR="000A7F17">
        <w:t>23</w:t>
      </w:r>
      <w:bookmarkStart w:id="1" w:name="_GoBack"/>
      <w:bookmarkEnd w:id="0"/>
      <w:bookmarkEnd w:id="1"/>
    </w:p>
    <w:p w:rsidR="005E0AF5" w:rsidRPr="00440E12" w:rsidRDefault="005E0AF5" w:rsidP="005E0AF5">
      <w:pPr>
        <w:pStyle w:val="ATHeading2"/>
      </w:pPr>
      <w:bookmarkStart w:id="2" w:name="title"/>
      <w:r w:rsidRPr="00440E12">
        <w:t>2/2024. sz. költségvetés-módosítási tervezet: a 2023</w:t>
      </w:r>
      <w:r w:rsidR="00C96B3A">
        <w:t>. évi</w:t>
      </w:r>
      <w:r w:rsidRPr="00440E12">
        <w:t xml:space="preserve"> pénzügyi év többletének beállítása a költségvetésbe</w:t>
      </w:r>
      <w:bookmarkEnd w:id="2"/>
    </w:p>
    <w:p w:rsidR="005E0AF5" w:rsidRPr="00440E12" w:rsidRDefault="005E0AF5" w:rsidP="005E0AF5">
      <w:pPr>
        <w:rPr>
          <w:i/>
          <w:vanish/>
        </w:rPr>
      </w:pPr>
      <w:r w:rsidRPr="00440E12">
        <w:rPr>
          <w:i/>
        </w:rPr>
        <w:fldChar w:fldCharType="begin"/>
      </w:r>
      <w:r w:rsidRPr="00440E12">
        <w:rPr>
          <w:i/>
        </w:rPr>
        <w:instrText xml:space="preserve"> TC"(</w:instrText>
      </w:r>
      <w:bookmarkStart w:id="3" w:name="DocNumber"/>
      <w:r w:rsidRPr="00440E12">
        <w:rPr>
          <w:i/>
        </w:rPr>
        <w:instrText>A10-0005/2024</w:instrText>
      </w:r>
      <w:bookmarkEnd w:id="3"/>
      <w:r w:rsidRPr="00440E12">
        <w:rPr>
          <w:i/>
        </w:rPr>
        <w:instrText xml:space="preserve"> - Előadó: Siegfried Mureşan)"\l3 \n&gt; \* MERGEFORMAT </w:instrText>
      </w:r>
      <w:r w:rsidRPr="00440E12">
        <w:rPr>
          <w:i/>
        </w:rPr>
        <w:fldChar w:fldCharType="end"/>
      </w:r>
    </w:p>
    <w:p w:rsidR="005E0AF5" w:rsidRPr="00440E12" w:rsidRDefault="005E0AF5" w:rsidP="005E0AF5">
      <w:pPr>
        <w:rPr>
          <w:vanish/>
        </w:rPr>
      </w:pPr>
      <w:bookmarkStart w:id="4" w:name="Commission"/>
      <w:r w:rsidRPr="00440E12">
        <w:rPr>
          <w:vanish/>
        </w:rPr>
        <w:t>Költségvetési Bizottság</w:t>
      </w:r>
      <w:bookmarkEnd w:id="4"/>
    </w:p>
    <w:p w:rsidR="005E0AF5" w:rsidRPr="00440E12" w:rsidRDefault="005E0AF5" w:rsidP="005E0AF5">
      <w:pPr>
        <w:rPr>
          <w:vanish/>
        </w:rPr>
      </w:pPr>
      <w:bookmarkStart w:id="5" w:name="PE"/>
      <w:r w:rsidRPr="00440E12">
        <w:rPr>
          <w:vanish/>
        </w:rPr>
        <w:t>PE763.033</w:t>
      </w:r>
      <w:bookmarkEnd w:id="5"/>
    </w:p>
    <w:p w:rsidR="005E0AF5" w:rsidRPr="00440E12" w:rsidRDefault="005E0AF5" w:rsidP="005E0AF5">
      <w:pPr>
        <w:pStyle w:val="ATHeading3"/>
      </w:pPr>
      <w:bookmarkStart w:id="6" w:name="Sujet"/>
      <w:r w:rsidRPr="00440E12">
        <w:t xml:space="preserve">Az Európai Parlament 2024. </w:t>
      </w:r>
      <w:r w:rsidR="00D57759">
        <w:t>október 22-i</w:t>
      </w:r>
      <w:r w:rsidRPr="00440E12">
        <w:t xml:space="preserve"> állásfoglalása az Európai Unió 2024. évi pénzügyi évre vonatkozó, 2/2024. számú költségvetés-módosítási tervezetéről – a 2023. évi pénzügyi év többletének a költségvetésbe való be</w:t>
      </w:r>
      <w:r w:rsidR="00E61FFD">
        <w:t>állításáról</w:t>
      </w:r>
      <w:r w:rsidRPr="00440E12">
        <w:t xml:space="preserve"> – szóló tanácsi álláspontról</w:t>
      </w:r>
      <w:bookmarkEnd w:id="6"/>
      <w:r w:rsidRPr="00440E12">
        <w:t xml:space="preserve"> </w:t>
      </w:r>
      <w:bookmarkStart w:id="7" w:name="References"/>
      <w:r w:rsidRPr="00440E12">
        <w:t>(12081/2024 – C10-0107/2024 – 2024/</w:t>
      </w:r>
      <w:proofErr w:type="gramStart"/>
      <w:r w:rsidRPr="00440E12">
        <w:t>0089(</w:t>
      </w:r>
      <w:proofErr w:type="gramEnd"/>
      <w:r w:rsidRPr="00440E12">
        <w:t>BUD))</w:t>
      </w:r>
      <w:bookmarkEnd w:id="7"/>
    </w:p>
    <w:p w:rsidR="005E0AF5" w:rsidRPr="00440E12" w:rsidRDefault="005E0AF5" w:rsidP="005E0AF5"/>
    <w:p w:rsidR="00B647B8" w:rsidRPr="00440E12" w:rsidRDefault="00B647B8" w:rsidP="00D57759">
      <w:pPr>
        <w:pStyle w:val="EPComma"/>
        <w:widowControl/>
        <w:spacing w:before="0"/>
        <w:ind w:left="567" w:hanging="567"/>
      </w:pPr>
      <w:bookmarkStart w:id="8" w:name="TextBodyBegin"/>
      <w:bookmarkEnd w:id="8"/>
      <w:r w:rsidRPr="00440E12">
        <w:rPr>
          <w:i/>
        </w:rPr>
        <w:t>Az Európai Parlament,</w:t>
      </w:r>
    </w:p>
    <w:p w:rsidR="00B647B8" w:rsidRPr="00440E12" w:rsidRDefault="00B647B8" w:rsidP="00D57759">
      <w:pPr>
        <w:pStyle w:val="NormalHanging12a"/>
        <w:widowControl/>
      </w:pPr>
      <w:r w:rsidRPr="00440E12">
        <w:t>–</w:t>
      </w:r>
      <w:r w:rsidRPr="00440E12">
        <w:tab/>
        <w:t>tekintettel az Európai Unió működéséről szóló szerződés 314. cikkére,</w:t>
      </w:r>
    </w:p>
    <w:p w:rsidR="00B647B8" w:rsidRPr="00440E12" w:rsidRDefault="00B647B8" w:rsidP="00D57759">
      <w:pPr>
        <w:pStyle w:val="NormalHanging12a"/>
        <w:widowControl/>
      </w:pPr>
      <w:r w:rsidRPr="00440E12">
        <w:t>–</w:t>
      </w:r>
      <w:r w:rsidRPr="00440E12">
        <w:tab/>
        <w:t>tekintettel az Európai Atomenergia-közösséget létrehozó szerződés 106a. cikkére,</w:t>
      </w:r>
    </w:p>
    <w:p w:rsidR="00B647B8" w:rsidRPr="00440E12" w:rsidRDefault="00B647B8" w:rsidP="00D57759">
      <w:pPr>
        <w:pStyle w:val="NormalHanging12a"/>
        <w:widowControl/>
      </w:pPr>
      <w:proofErr w:type="gramStart"/>
      <w:r w:rsidRPr="00440E12">
        <w:t>–</w:t>
      </w:r>
      <w:r w:rsidRPr="00440E12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440E12">
        <w:rPr>
          <w:rStyle w:val="FootnoteReference"/>
        </w:rPr>
        <w:footnoteReference w:id="1"/>
      </w:r>
      <w:r w:rsidRPr="00440E12">
        <w:t xml:space="preserve"> és különösen annak 44. cikkére,</w:t>
      </w:r>
      <w:proofErr w:type="gramEnd"/>
    </w:p>
    <w:p w:rsidR="00D57759" w:rsidRDefault="00D57759" w:rsidP="00D57759">
      <w:pPr>
        <w:pStyle w:val="NormalHanging12a"/>
        <w:widowControl/>
      </w:pPr>
      <w:r w:rsidRPr="00D57759">
        <w:t>–</w:t>
      </w:r>
      <w:r w:rsidRPr="00D57759">
        <w:tab/>
        <w:t>tekintettel az Unió általános költségvetésére alkalmazandó pénzügyi szabályokról szóló, 2024. szeptember 23-i (EU, Euratom) 2024/2509 európai parlamenti és tanácsi rendeletre</w:t>
      </w:r>
      <w:r>
        <w:rPr>
          <w:rStyle w:val="FootnoteReference"/>
        </w:rPr>
        <w:footnoteReference w:id="2"/>
      </w:r>
      <w:r w:rsidRPr="00D57759">
        <w:t xml:space="preserve"> és különösen annak 44. cikkére,</w:t>
      </w:r>
    </w:p>
    <w:p w:rsidR="00B647B8" w:rsidRPr="00440E12" w:rsidRDefault="00B647B8" w:rsidP="00D57759">
      <w:pPr>
        <w:pStyle w:val="NormalHanging12a"/>
        <w:widowControl/>
      </w:pPr>
      <w:r w:rsidRPr="00440E12">
        <w:t>–</w:t>
      </w:r>
      <w:r w:rsidRPr="00440E12">
        <w:tab/>
        <w:t>tekintettel az Európai Unió 2024. évi pénzügyi évre szóló általános költségvetésére, amelyet 2023. november 22-én fogadtak el véglegesen</w:t>
      </w:r>
      <w:r w:rsidRPr="00440E12">
        <w:rPr>
          <w:rStyle w:val="FootnoteReference"/>
        </w:rPr>
        <w:footnoteReference w:id="3"/>
      </w:r>
      <w:r w:rsidRPr="00440E12">
        <w:t>,</w:t>
      </w:r>
    </w:p>
    <w:p w:rsidR="00B647B8" w:rsidRPr="00440E12" w:rsidRDefault="00B647B8" w:rsidP="00D57759">
      <w:pPr>
        <w:pStyle w:val="NormalHanging12a"/>
        <w:widowControl/>
      </w:pPr>
      <w:r w:rsidRPr="00440E12">
        <w:lastRenderedPageBreak/>
        <w:t>–</w:t>
      </w:r>
      <w:r w:rsidRPr="00440E12">
        <w:tab/>
        <w:t>tekintettel a 2021–2027-es időszakra vonatkozó többéves pénzügyi keretről szóló, 2020. december 17-i (EU, Euratom) 2020/2093 tanácsi rendeletre</w:t>
      </w:r>
      <w:r w:rsidRPr="00440E12">
        <w:rPr>
          <w:rStyle w:val="FootnoteReference"/>
        </w:rPr>
        <w:footnoteReference w:id="4"/>
      </w:r>
      <w:r w:rsidRPr="00440E12">
        <w:t>,</w:t>
      </w:r>
    </w:p>
    <w:p w:rsidR="00B647B8" w:rsidRPr="00440E12" w:rsidRDefault="00B647B8" w:rsidP="00D57759">
      <w:pPr>
        <w:pStyle w:val="NormalHanging12a"/>
        <w:widowControl/>
      </w:pPr>
      <w:r w:rsidRPr="00440E12">
        <w:t>–</w:t>
      </w:r>
      <w:r w:rsidRPr="00440E12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vonatkozó ütemtervről szóló, 2020. december 16-i intézményközi megállapodásra</w:t>
      </w:r>
      <w:r w:rsidRPr="00440E12">
        <w:rPr>
          <w:rStyle w:val="FootnoteReference"/>
        </w:rPr>
        <w:footnoteReference w:id="5"/>
      </w:r>
      <w:r w:rsidRPr="00440E12">
        <w:t>,</w:t>
      </w:r>
    </w:p>
    <w:p w:rsidR="00B647B8" w:rsidRPr="00440E12" w:rsidRDefault="00B647B8" w:rsidP="00D57759">
      <w:pPr>
        <w:pStyle w:val="NormalHanging12a"/>
        <w:widowControl/>
      </w:pPr>
      <w:r w:rsidRPr="00440E12">
        <w:t>–</w:t>
      </w:r>
      <w:r w:rsidRPr="00440E12">
        <w:tab/>
        <w:t>tekintettel az Európai Unió saját forrásainak rendszeréről és a 2014/335/EU, Euratom határozat hatályon kívül helyezéséről szóló, 2020. december 14-i (EU, Euratom) 2020/2053 tanácsi határozatra</w:t>
      </w:r>
      <w:r w:rsidRPr="00440E12">
        <w:rPr>
          <w:rStyle w:val="FootnoteReference"/>
        </w:rPr>
        <w:footnoteReference w:id="6"/>
      </w:r>
      <w:r w:rsidRPr="00440E12">
        <w:t>,</w:t>
      </w:r>
    </w:p>
    <w:p w:rsidR="00B647B8" w:rsidRPr="00440E12" w:rsidRDefault="00B647B8" w:rsidP="00D57759">
      <w:pPr>
        <w:pStyle w:val="NormalHanging12a"/>
        <w:widowControl/>
      </w:pPr>
      <w:r w:rsidRPr="00440E12">
        <w:t>–</w:t>
      </w:r>
      <w:r w:rsidRPr="00440E12">
        <w:tab/>
        <w:t>tekintettel a Bizottság által 2024. április 9-én elfogadott, 2/2024. számú költségvetés-módosítási tervezetre (</w:t>
      </w:r>
      <w:proofErr w:type="gramStart"/>
      <w:r w:rsidRPr="00440E12">
        <w:t>COM(</w:t>
      </w:r>
      <w:proofErr w:type="gramEnd"/>
      <w:r w:rsidRPr="00440E12">
        <w:t>2024)0920),</w:t>
      </w:r>
    </w:p>
    <w:p w:rsidR="00B647B8" w:rsidRPr="00440E12" w:rsidRDefault="00B647B8" w:rsidP="00D57759">
      <w:pPr>
        <w:pStyle w:val="NormalHanging12a"/>
        <w:widowControl/>
      </w:pPr>
      <w:r w:rsidRPr="00440E12">
        <w:t>–</w:t>
      </w:r>
      <w:r w:rsidRPr="00440E12">
        <w:tab/>
        <w:t>tekintettel a Tanács által 2024. szeptember 13-án elfogadott, és a Parlamentnek 2024. szeptember 16-án továbbított, a 2/2024. számú költségvetés-módosítási tervezetről szóló álláspontra (12081/2024 – C10</w:t>
      </w:r>
      <w:r w:rsidRPr="00440E12">
        <w:noBreakHyphen/>
        <w:t>0107/2024),</w:t>
      </w:r>
    </w:p>
    <w:p w:rsidR="00B647B8" w:rsidRPr="00440E12" w:rsidRDefault="00B647B8" w:rsidP="00D57759">
      <w:pPr>
        <w:pStyle w:val="NormalHanging12a"/>
        <w:widowControl/>
      </w:pPr>
      <w:r w:rsidRPr="00440E12">
        <w:t>–</w:t>
      </w:r>
      <w:r w:rsidRPr="00440E12">
        <w:tab/>
        <w:t>tekintettel eljárási szabályzata 96. és 98. cikkére,</w:t>
      </w:r>
    </w:p>
    <w:p w:rsidR="00B647B8" w:rsidRPr="00440E12" w:rsidRDefault="00B647B8" w:rsidP="00D57759">
      <w:pPr>
        <w:pStyle w:val="NormalHanging12a"/>
        <w:widowControl/>
      </w:pPr>
      <w:r w:rsidRPr="00440E12">
        <w:t>–</w:t>
      </w:r>
      <w:r w:rsidRPr="00440E12">
        <w:tab/>
        <w:t>tekintettel a Költségvetési Bizottság jelentésére (A10-0005/2024),</w:t>
      </w:r>
    </w:p>
    <w:p w:rsidR="00B647B8" w:rsidRPr="00440E12" w:rsidRDefault="00B647B8" w:rsidP="00D57759">
      <w:pPr>
        <w:pStyle w:val="NormalHanging12a"/>
        <w:widowControl/>
      </w:pPr>
      <w:proofErr w:type="gramStart"/>
      <w:r w:rsidRPr="00440E12">
        <w:t>A.</w:t>
      </w:r>
      <w:proofErr w:type="gramEnd"/>
      <w:r w:rsidRPr="00440E12">
        <w:tab/>
      </w:r>
      <w:proofErr w:type="gramStart"/>
      <w:r w:rsidRPr="00440E12">
        <w:t>mivel</w:t>
      </w:r>
      <w:proofErr w:type="gramEnd"/>
      <w:r w:rsidRPr="00440E12">
        <w:t xml:space="preserve"> a 2/2024. sz. költségvetés-módosítási tervezet arra hivatott, hogy a 2023. évi pénzügyi év 633 millió </w:t>
      </w:r>
      <w:r w:rsidR="00D57759">
        <w:t>EUR-s</w:t>
      </w:r>
      <w:r w:rsidR="00D57759" w:rsidRPr="00440E12">
        <w:t xml:space="preserve"> </w:t>
      </w:r>
      <w:r w:rsidRPr="00440E12">
        <w:t>többletét be</w:t>
      </w:r>
      <w:r w:rsidR="00E61FFD">
        <w:t>állítsa</w:t>
      </w:r>
      <w:r w:rsidRPr="00440E12">
        <w:t xml:space="preserve"> a 2024. évi költségvetésbe;</w:t>
      </w:r>
    </w:p>
    <w:p w:rsidR="00B647B8" w:rsidRPr="00440E12" w:rsidRDefault="00B647B8" w:rsidP="00D57759">
      <w:pPr>
        <w:pStyle w:val="NormalHanging12a"/>
        <w:widowControl/>
      </w:pPr>
      <w:r w:rsidRPr="00440E12">
        <w:t>B.</w:t>
      </w:r>
      <w:r w:rsidRPr="00440E12">
        <w:tab/>
        <w:t>mivel az említett többlet két fő összetevője egy 238,7 millió EUR-s, a bevételi oldalon jelentkező pozitív bevételi kimutatás, valamint a kiadási oldalon egy 393,9 millió EUR</w:t>
      </w:r>
      <w:r w:rsidRPr="00440E12">
        <w:noBreakHyphen/>
        <w:t xml:space="preserve">s </w:t>
      </w:r>
      <w:proofErr w:type="spellStart"/>
      <w:r w:rsidRPr="00440E12">
        <w:t>alulköltés</w:t>
      </w:r>
      <w:proofErr w:type="spellEnd"/>
      <w:r w:rsidRPr="00440E12">
        <w:t>;</w:t>
      </w:r>
    </w:p>
    <w:p w:rsidR="00B647B8" w:rsidRPr="00440E12" w:rsidRDefault="00B647B8" w:rsidP="00D57759">
      <w:pPr>
        <w:pStyle w:val="NormalHanging12a"/>
        <w:widowControl/>
      </w:pPr>
      <w:r w:rsidRPr="00440E12">
        <w:t>C.</w:t>
      </w:r>
      <w:r w:rsidRPr="00440E12">
        <w:tab/>
        <w:t>mivel a bevételi oldalon a többlet volumenét elsősorban a pénzügyi bevételekből, késedelmi kamatokból és bírságokból származó 1 766 millió EUR határozza meg, miközben a vámok összege pedig a vártnál 1 649 millió EUR-val alacsonyabb; mivel az igazgatási bevételek 107 millió EUR összegű többlete elsősorban az előre jelzettnél magasabb nyugdíjjárulék-mértéknek és a 2023. januári időközi bérkiigazításnak tudható be, amely növelte az adók, illetékek és nyugdíjjárulékok szintjét;</w:t>
      </w:r>
    </w:p>
    <w:p w:rsidR="00B647B8" w:rsidRPr="00440E12" w:rsidRDefault="00B647B8" w:rsidP="00D57759">
      <w:pPr>
        <w:pStyle w:val="NormalHanging12a"/>
        <w:widowControl/>
      </w:pPr>
      <w:r w:rsidRPr="00440E12">
        <w:t>D.</w:t>
      </w:r>
      <w:r w:rsidRPr="00440E12">
        <w:tab/>
        <w:t>mivel a kiadási oldalon a Bizottság által nem teljes körűen felhasznált kifizetési előirányzatok összege 70 millió EUR-t tett ki (az engedélyezett kifizetési előirányzatok 0,1 %-a); mivel a többi intézmény 48 millió EUR összegű kifizetést törölt, ezáltal fenntartva a költségvetés nem teljes körű felhasználásának 2022-es, alacsony szintjét;</w:t>
      </w:r>
    </w:p>
    <w:p w:rsidR="00B647B8" w:rsidRPr="00440E12" w:rsidRDefault="00B647B8" w:rsidP="00D57759">
      <w:pPr>
        <w:widowControl/>
        <w:spacing w:after="240"/>
        <w:ind w:left="567" w:hanging="567"/>
      </w:pPr>
      <w:r w:rsidRPr="00440E12">
        <w:t>E.</w:t>
      </w:r>
      <w:r w:rsidRPr="00440E12">
        <w:tab/>
      </w:r>
      <w:proofErr w:type="gramStart"/>
      <w:r w:rsidRPr="00440E12">
        <w:t>mivel</w:t>
      </w:r>
      <w:proofErr w:type="gramEnd"/>
      <w:r w:rsidRPr="00440E12">
        <w:t xml:space="preserve"> a 2/2024. sz. költségvetés-módosítási tervezet alapján a Németországra, Hollandiára, Dániára, Svédországra és Ausztriára vonatkozó éves GNI-alapú egyösszegű csökkentések nettó 5,4 milliárd EUR-t tesznek ki;</w:t>
      </w:r>
    </w:p>
    <w:p w:rsidR="00B647B8" w:rsidRPr="00440E12" w:rsidRDefault="00B647B8" w:rsidP="00D57759">
      <w:pPr>
        <w:widowControl/>
        <w:spacing w:after="240"/>
        <w:ind w:left="567" w:hanging="567"/>
        <w:rPr>
          <w:szCs w:val="24"/>
        </w:rPr>
      </w:pPr>
      <w:r w:rsidRPr="00440E12">
        <w:lastRenderedPageBreak/>
        <w:t>F.</w:t>
      </w:r>
      <w:r w:rsidRPr="00440E12">
        <w:tab/>
      </w:r>
      <w:proofErr w:type="gramStart"/>
      <w:r w:rsidRPr="00440E12">
        <w:t>mivel</w:t>
      </w:r>
      <w:proofErr w:type="gramEnd"/>
      <w:r w:rsidRPr="00440E12">
        <w:t xml:space="preserve"> az uniós költségvetés mozgástere és rugalmassága továbbra is nagyon szűkös a többéves pénzügyi keret felülvizsgálata és az Európai Uniós Helyreállítási Eszköz megnövekedett – természetüknél fogva ingadozó, ezért a költségvetésben bizonytalanságot okozó – hitelfelvételi költségeinek fedezésére szolgáló új EURI-eszköz bevezetése ellenére; mivel ebben a kihívásokkal teli környezetben a költségvetési igények növekednek;</w:t>
      </w:r>
    </w:p>
    <w:p w:rsidR="00B647B8" w:rsidRPr="00440E12" w:rsidRDefault="00B647B8" w:rsidP="00D57759">
      <w:pPr>
        <w:pStyle w:val="NormalHanging12a"/>
        <w:widowControl/>
      </w:pPr>
      <w:r w:rsidRPr="00440E12">
        <w:t>1.</w:t>
      </w:r>
      <w:r w:rsidRPr="00440E12">
        <w:tab/>
        <w:t>tudomásul veszi a 2/2024. számú költségvetés-módosítási tervezetet a Bizottság által benyújtott formájában, amely a 2023. évi 633 millió EUR összegű többlet költségvetésbe való bevezetésére hivatott, a költségvetési rendelet 18. cikkének (3) bekezdésével összhangban;</w:t>
      </w:r>
    </w:p>
    <w:p w:rsidR="00B647B8" w:rsidRPr="00440E12" w:rsidRDefault="00B647B8" w:rsidP="00D57759">
      <w:pPr>
        <w:pStyle w:val="NormalHanging12a"/>
        <w:widowControl/>
      </w:pPr>
      <w:r w:rsidRPr="00440E12">
        <w:t>2.</w:t>
      </w:r>
      <w:r w:rsidRPr="00440E12">
        <w:tab/>
        <w:t xml:space="preserve">üdvözli, hogy a 2023. évi többlet jelentősen alacsonyabb, mint a 2022. évi többlet, ami a Bizottság jobb költségvetési </w:t>
      </w:r>
      <w:proofErr w:type="spellStart"/>
      <w:r w:rsidRPr="00440E12">
        <w:t>előrejelzésére</w:t>
      </w:r>
      <w:proofErr w:type="spellEnd"/>
      <w:r w:rsidRPr="00440E12">
        <w:t xml:space="preserve"> és irányítására utal;</w:t>
      </w:r>
    </w:p>
    <w:p w:rsidR="00B647B8" w:rsidRPr="00440E12" w:rsidRDefault="00B647B8" w:rsidP="00D57759">
      <w:pPr>
        <w:pStyle w:val="NormalHanging12a"/>
        <w:widowControl/>
      </w:pPr>
      <w:r w:rsidRPr="00440E12">
        <w:t>3.</w:t>
      </w:r>
      <w:r w:rsidRPr="00440E12">
        <w:tab/>
        <w:t xml:space="preserve">hangsúlyozza, hogy a többlet csökkenti a tagállamok teljes hozzájárulását a 2024. évi költségvetés </w:t>
      </w:r>
      <w:proofErr w:type="gramStart"/>
      <w:r w:rsidRPr="00440E12">
        <w:t>finanszírozásához</w:t>
      </w:r>
      <w:proofErr w:type="gramEnd"/>
      <w:r w:rsidRPr="00440E12">
        <w:t xml:space="preserve"> egy olyan időszakban, amikor a finanszírozási szükségletek továbbra is magasak, és az uniós költségvetésen belüli mozgástér rendkívül korlátozott; hangsúlyozza, hogy a költségvetésnek elegendő rugalmasságot kell fenntartania ahhoz, hogy az Unió megbirkózhasson az előre nem látható eseményekkel és az újonnan felmerülő prioritásokkal;</w:t>
      </w:r>
    </w:p>
    <w:p w:rsidR="00B647B8" w:rsidRPr="00440E12" w:rsidRDefault="00B647B8" w:rsidP="00D57759">
      <w:pPr>
        <w:pStyle w:val="NormalHanging12a"/>
        <w:widowControl/>
      </w:pPr>
      <w:r w:rsidRPr="00440E12">
        <w:t>4.</w:t>
      </w:r>
      <w:r w:rsidRPr="00440E12">
        <w:tab/>
        <w:t>emlékeztet régóta képviselt álláspontjára, amely szerint a bírságokat és díjakat az uniós költségvetés többletbevételeként kell felhasználni, és azok nem vezethetnek a GNI-hozzájárulások ennek megfelelő csökkenéséhez;</w:t>
      </w:r>
    </w:p>
    <w:p w:rsidR="00B647B8" w:rsidRPr="00440E12" w:rsidRDefault="00B647B8" w:rsidP="00D57759">
      <w:pPr>
        <w:widowControl/>
        <w:spacing w:after="240"/>
        <w:ind w:left="567" w:hanging="567"/>
      </w:pPr>
      <w:r w:rsidRPr="00440E12">
        <w:t>5.</w:t>
      </w:r>
      <w:r w:rsidRPr="00440E12">
        <w:tab/>
        <w:t>tudomásul veszi az öt kedvezményezett tagállam esetében a kiigazított éves GNI-alapú egyösszegű csökkentések kiszámítását, amelyek nettó 5,4 milliárd EUR-t tesznek ki; kiemeli, hogy ezek a visszatérítések inflációhoz kötöttek, és ezért nagyobb mértékben emelkedtek, mint a többéves pénzügyi keret felső határai, amelyeket évente igazítanak ki a 2 %-</w:t>
      </w:r>
      <w:proofErr w:type="spellStart"/>
      <w:r w:rsidRPr="00440E12">
        <w:t>os</w:t>
      </w:r>
      <w:proofErr w:type="spellEnd"/>
      <w:r w:rsidRPr="00440E12">
        <w:t xml:space="preserve"> </w:t>
      </w:r>
      <w:proofErr w:type="spellStart"/>
      <w:r w:rsidRPr="00440E12">
        <w:t>deflátor</w:t>
      </w:r>
      <w:proofErr w:type="spellEnd"/>
      <w:r w:rsidRPr="00440E12">
        <w:t xml:space="preserve"> alapján; hangsúlyozza, hogy ez az </w:t>
      </w:r>
      <w:proofErr w:type="gramStart"/>
      <w:r w:rsidRPr="00440E12">
        <w:t>anomália</w:t>
      </w:r>
      <w:proofErr w:type="gramEnd"/>
      <w:r w:rsidRPr="00440E12">
        <w:t xml:space="preserve"> növeli a többi tagállam terheit;</w:t>
      </w:r>
    </w:p>
    <w:p w:rsidR="00B647B8" w:rsidRPr="00440E12" w:rsidRDefault="00B647B8" w:rsidP="00D57759">
      <w:pPr>
        <w:pStyle w:val="NormalHanging12a"/>
        <w:widowControl/>
        <w:rPr>
          <w:szCs w:val="24"/>
        </w:rPr>
      </w:pPr>
      <w:r w:rsidRPr="00440E12">
        <w:t>6.</w:t>
      </w:r>
      <w:r w:rsidRPr="00440E12">
        <w:tab/>
        <w:t xml:space="preserve">hangsúlyozza, hogy az uniós költségvetés számára fenntartható bevételekre van szükség; ezért sajnálatát fejezi ki amiatt, hogy a Tanácsban nem történt előrelépés a saját források rendszerének </w:t>
      </w:r>
      <w:r w:rsidRPr="00440E12">
        <w:rPr>
          <w:color w:val="1E1E1F"/>
          <w:shd w:val="clear" w:color="auto" w:fill="FFFFFF"/>
        </w:rPr>
        <w:t>az intézményközi megállapodásban foglalt ütemtervnek megfelelő</w:t>
      </w:r>
      <w:r w:rsidRPr="00440E12">
        <w:t xml:space="preserve"> reformja terén;</w:t>
      </w:r>
      <w:r w:rsidRPr="00440E12">
        <w:rPr>
          <w:color w:val="1E1E1F"/>
          <w:shd w:val="clear" w:color="auto" w:fill="FFFFFF"/>
        </w:rPr>
        <w:t xml:space="preserve"> </w:t>
      </w:r>
      <w:r w:rsidRPr="00440E12">
        <w:t>emlékeztet a módosított bizottsági javaslatokat támogató álláspontjára, és sürgeti a Tanácsot, hogy mielőbb fogadja el ezeket a javaslatokat az uniós költségvetés rendelkezésére álló saját források növelése érdekében;</w:t>
      </w:r>
    </w:p>
    <w:p w:rsidR="00B647B8" w:rsidRPr="00440E12" w:rsidRDefault="00B647B8" w:rsidP="00D57759">
      <w:pPr>
        <w:pStyle w:val="NormalHanging12a"/>
        <w:widowControl/>
      </w:pPr>
      <w:r w:rsidRPr="00440E12">
        <w:t>7.</w:t>
      </w:r>
      <w:r w:rsidRPr="00440E12">
        <w:tab/>
        <w:t>jóváhagyja a 2/2024. számú költségvetés-módosítási tervezetről szóló tanácsi álláspontot;</w:t>
      </w:r>
    </w:p>
    <w:p w:rsidR="00B647B8" w:rsidRPr="00440E12" w:rsidRDefault="00B647B8" w:rsidP="00D57759">
      <w:pPr>
        <w:pStyle w:val="NormalHanging12a"/>
        <w:widowControl/>
      </w:pPr>
      <w:r w:rsidRPr="00440E12">
        <w:t>8.</w:t>
      </w:r>
      <w:r w:rsidRPr="00440E12">
        <w:tab/>
        <w:t xml:space="preserve">utasítja elnökét annak megállapítására, hogy a </w:t>
      </w:r>
      <w:r w:rsidR="00D57759">
        <w:t>3</w:t>
      </w:r>
      <w:r w:rsidRPr="00440E12">
        <w:t xml:space="preserve">/2024. számú költségvetés-módosítást véglegesen elfogadták, valamint arra, hogy gondoskodjon annak közzétételéről az </w:t>
      </w:r>
      <w:r w:rsidRPr="00440E12">
        <w:rPr>
          <w:i/>
        </w:rPr>
        <w:t>Európai Unió Hivatalos Lapjában</w:t>
      </w:r>
      <w:r w:rsidRPr="00440E12">
        <w:t>;</w:t>
      </w:r>
    </w:p>
    <w:p w:rsidR="00E365E1" w:rsidRPr="00440E12" w:rsidRDefault="00B647B8" w:rsidP="00D57759">
      <w:pPr>
        <w:widowControl/>
        <w:spacing w:after="240"/>
        <w:ind w:left="567" w:hanging="567"/>
      </w:pPr>
      <w:r w:rsidRPr="00440E12">
        <w:t>9.</w:t>
      </w:r>
      <w:r w:rsidRPr="00440E12">
        <w:tab/>
        <w:t>utasítja elnökét, hogy továbbítsa ezt az állásfoglalást a Tanácsnak és a Bizottságnak, továbbá a többi érintett intézménynek és szervnek, valamint a nemzeti parlamenteknek.</w:t>
      </w:r>
      <w:bookmarkStart w:id="9" w:name="TextBodyEnd"/>
      <w:bookmarkEnd w:id="9"/>
    </w:p>
    <w:sectPr w:rsidR="00E365E1" w:rsidRPr="00440E12" w:rsidSect="00440E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AF5" w:rsidRPr="00440E12" w:rsidRDefault="005E0AF5">
      <w:r w:rsidRPr="00440E12">
        <w:separator/>
      </w:r>
    </w:p>
  </w:endnote>
  <w:endnote w:type="continuationSeparator" w:id="0">
    <w:p w:rsidR="005E0AF5" w:rsidRPr="00440E12" w:rsidRDefault="005E0AF5">
      <w:r w:rsidRPr="00440E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E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E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E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AF5" w:rsidRPr="00440E12" w:rsidRDefault="005E0AF5">
      <w:r w:rsidRPr="00440E12">
        <w:separator/>
      </w:r>
    </w:p>
  </w:footnote>
  <w:footnote w:type="continuationSeparator" w:id="0">
    <w:p w:rsidR="005E0AF5" w:rsidRPr="00440E12" w:rsidRDefault="005E0AF5">
      <w:r w:rsidRPr="00440E12">
        <w:continuationSeparator/>
      </w:r>
    </w:p>
  </w:footnote>
  <w:footnote w:id="1">
    <w:p w:rsidR="00B647B8" w:rsidRPr="00440E12" w:rsidRDefault="00B647B8" w:rsidP="00440E12">
      <w:pPr>
        <w:pStyle w:val="FootnoteText"/>
        <w:ind w:left="567" w:hanging="567"/>
        <w:rPr>
          <w:sz w:val="24"/>
          <w:lang w:val="hu-HU"/>
        </w:rPr>
      </w:pPr>
      <w:r w:rsidRPr="00440E12">
        <w:rPr>
          <w:rStyle w:val="FootnoteReference"/>
          <w:sz w:val="24"/>
          <w:lang w:val="hu-HU"/>
        </w:rPr>
        <w:footnoteRef/>
      </w:r>
      <w:r w:rsidR="00440E12" w:rsidRPr="00440E12">
        <w:rPr>
          <w:sz w:val="24"/>
          <w:lang w:val="hu-HU"/>
        </w:rPr>
        <w:t xml:space="preserve"> </w:t>
      </w:r>
      <w:r w:rsidR="00440E12" w:rsidRPr="00440E12">
        <w:rPr>
          <w:sz w:val="24"/>
          <w:lang w:val="hu-HU"/>
        </w:rPr>
        <w:tab/>
      </w:r>
      <w:r w:rsidRPr="00440E12">
        <w:rPr>
          <w:sz w:val="24"/>
          <w:lang w:val="hu-HU"/>
        </w:rPr>
        <w:t>HL L 193., 2018.7.30</w:t>
      </w:r>
      <w:proofErr w:type="gramStart"/>
      <w:r w:rsidRPr="00440E12">
        <w:rPr>
          <w:sz w:val="24"/>
          <w:lang w:val="hu-HU"/>
        </w:rPr>
        <w:t>.,</w:t>
      </w:r>
      <w:proofErr w:type="gramEnd"/>
      <w:r w:rsidRPr="00440E12">
        <w:rPr>
          <w:sz w:val="24"/>
          <w:lang w:val="hu-HU"/>
        </w:rPr>
        <w:t xml:space="preserve"> 1. o., ELI: </w:t>
      </w:r>
      <w:hyperlink r:id="rId1" w:history="1">
        <w:r w:rsidRPr="00440E12">
          <w:rPr>
            <w:rStyle w:val="Hyperlink"/>
            <w:sz w:val="24"/>
            <w:lang w:val="hu-HU"/>
          </w:rPr>
          <w:t>https://eur-lex.europa.eu/eli/reg/2018/1046/oj?eliuri=eli%3Areg%3A2018%3A1046%3Aoj&amp;locale=hu</w:t>
        </w:r>
      </w:hyperlink>
      <w:r w:rsidRPr="00440E12">
        <w:rPr>
          <w:sz w:val="24"/>
          <w:lang w:val="hu-HU"/>
        </w:rPr>
        <w:t>.</w:t>
      </w:r>
    </w:p>
  </w:footnote>
  <w:footnote w:id="2">
    <w:p w:rsidR="00D57759" w:rsidRPr="000A7F17" w:rsidRDefault="00D57759" w:rsidP="000A7F17">
      <w:pPr>
        <w:pStyle w:val="FootnoteText"/>
        <w:ind w:left="567" w:hanging="567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 w:rsidRPr="000A7F17">
        <w:rPr>
          <w:lang w:val="fi-FI"/>
        </w:rPr>
        <w:t xml:space="preserve"> </w:t>
      </w:r>
      <w:r>
        <w:rPr>
          <w:lang w:val="hu-HU"/>
        </w:rPr>
        <w:tab/>
      </w:r>
      <w:r w:rsidRPr="000A7F17">
        <w:rPr>
          <w:sz w:val="24"/>
          <w:szCs w:val="24"/>
          <w:lang w:val="hu-HU"/>
        </w:rPr>
        <w:t xml:space="preserve">HL L, 2024/2509, 2024.9.26, </w:t>
      </w:r>
      <w:r w:rsidRPr="000A7F17">
        <w:rPr>
          <w:sz w:val="24"/>
          <w:szCs w:val="24"/>
          <w:lang w:val="fi-FI"/>
        </w:rPr>
        <w:t>ELI: http://data.europa.eu/eli/reg/2024/2509/oj.</w:t>
      </w:r>
    </w:p>
  </w:footnote>
  <w:footnote w:id="3">
    <w:p w:rsidR="00B647B8" w:rsidRPr="00440E12" w:rsidRDefault="00B647B8" w:rsidP="00440E12">
      <w:pPr>
        <w:pStyle w:val="FootnoteText"/>
        <w:ind w:left="567" w:hanging="567"/>
        <w:rPr>
          <w:sz w:val="24"/>
          <w:lang w:val="hu-HU"/>
        </w:rPr>
      </w:pPr>
      <w:r w:rsidRPr="00440E12">
        <w:rPr>
          <w:rStyle w:val="FootnoteReference"/>
          <w:sz w:val="24"/>
          <w:lang w:val="hu-HU"/>
        </w:rPr>
        <w:footnoteRef/>
      </w:r>
      <w:r w:rsidR="00440E12" w:rsidRPr="00440E12">
        <w:rPr>
          <w:sz w:val="24"/>
          <w:lang w:val="hu-HU"/>
        </w:rPr>
        <w:t xml:space="preserve"> </w:t>
      </w:r>
      <w:r w:rsidR="00440E12" w:rsidRPr="00440E12">
        <w:rPr>
          <w:sz w:val="24"/>
          <w:lang w:val="hu-HU"/>
        </w:rPr>
        <w:tab/>
      </w:r>
      <w:r w:rsidRPr="00440E12">
        <w:rPr>
          <w:sz w:val="24"/>
          <w:lang w:val="hu-HU"/>
        </w:rPr>
        <w:t>HL L, 2024/207, 2024.2.22</w:t>
      </w:r>
      <w:proofErr w:type="gramStart"/>
      <w:r w:rsidRPr="00440E12">
        <w:rPr>
          <w:sz w:val="24"/>
          <w:lang w:val="hu-HU"/>
        </w:rPr>
        <w:t>.,</w:t>
      </w:r>
      <w:proofErr w:type="gramEnd"/>
      <w:r w:rsidRPr="00440E12">
        <w:rPr>
          <w:sz w:val="24"/>
          <w:lang w:val="hu-HU"/>
        </w:rPr>
        <w:t xml:space="preserve"> ELI: </w:t>
      </w:r>
      <w:hyperlink r:id="rId2" w:history="1">
        <w:r w:rsidRPr="00440E12">
          <w:rPr>
            <w:rStyle w:val="Hyperlink"/>
            <w:sz w:val="24"/>
            <w:lang w:val="hu-HU"/>
          </w:rPr>
          <w:t>http://data.europa.eu/eli/budget/2024/207/oj</w:t>
        </w:r>
      </w:hyperlink>
      <w:r w:rsidRPr="00440E12">
        <w:rPr>
          <w:sz w:val="24"/>
          <w:lang w:val="hu-HU"/>
        </w:rPr>
        <w:t>.</w:t>
      </w:r>
    </w:p>
  </w:footnote>
  <w:footnote w:id="4">
    <w:p w:rsidR="00B647B8" w:rsidRPr="00440E12" w:rsidRDefault="00B647B8" w:rsidP="00440E12">
      <w:pPr>
        <w:pStyle w:val="FootnoteText"/>
        <w:ind w:left="567" w:hanging="567"/>
        <w:rPr>
          <w:sz w:val="24"/>
          <w:lang w:val="hu-HU"/>
        </w:rPr>
      </w:pPr>
      <w:r w:rsidRPr="00440E12">
        <w:rPr>
          <w:rStyle w:val="FootnoteReference"/>
          <w:sz w:val="24"/>
          <w:lang w:val="hu-HU"/>
        </w:rPr>
        <w:footnoteRef/>
      </w:r>
      <w:r w:rsidR="00440E12" w:rsidRPr="00440E12">
        <w:rPr>
          <w:sz w:val="24"/>
          <w:lang w:val="hu-HU"/>
        </w:rPr>
        <w:t xml:space="preserve"> </w:t>
      </w:r>
      <w:r w:rsidR="00440E12" w:rsidRPr="00440E12">
        <w:rPr>
          <w:sz w:val="24"/>
          <w:lang w:val="hu-HU"/>
        </w:rPr>
        <w:tab/>
      </w:r>
      <w:r w:rsidRPr="00440E12">
        <w:rPr>
          <w:sz w:val="24"/>
          <w:lang w:val="hu-HU"/>
        </w:rPr>
        <w:t>HL L 433</w:t>
      </w:r>
      <w:r w:rsidR="006A13C8">
        <w:rPr>
          <w:sz w:val="24"/>
          <w:lang w:val="hu-HU"/>
        </w:rPr>
        <w:t>.</w:t>
      </w:r>
      <w:r w:rsidRPr="00440E12">
        <w:rPr>
          <w:sz w:val="24"/>
          <w:lang w:val="hu-HU"/>
        </w:rPr>
        <w:t xml:space="preserve"> I, 2020.12.22</w:t>
      </w:r>
      <w:proofErr w:type="gramStart"/>
      <w:r w:rsidRPr="00440E12">
        <w:rPr>
          <w:sz w:val="24"/>
          <w:lang w:val="hu-HU"/>
        </w:rPr>
        <w:t>.,</w:t>
      </w:r>
      <w:proofErr w:type="gramEnd"/>
      <w:r w:rsidRPr="00440E12">
        <w:rPr>
          <w:sz w:val="24"/>
          <w:lang w:val="hu-HU"/>
        </w:rPr>
        <w:t xml:space="preserve"> 11. o., ELI: </w:t>
      </w:r>
      <w:hyperlink r:id="rId3" w:history="1">
        <w:r w:rsidRPr="00440E12">
          <w:rPr>
            <w:rStyle w:val="Hyperlink"/>
            <w:sz w:val="24"/>
            <w:lang w:val="hu-HU"/>
          </w:rPr>
          <w:t>https://eur-lex.europa.eu/eli/reg/2020/2093/oj</w:t>
        </w:r>
      </w:hyperlink>
      <w:r w:rsidRPr="00440E12">
        <w:rPr>
          <w:sz w:val="24"/>
          <w:lang w:val="hu-HU"/>
        </w:rPr>
        <w:t>.</w:t>
      </w:r>
    </w:p>
  </w:footnote>
  <w:footnote w:id="5">
    <w:p w:rsidR="00B647B8" w:rsidRPr="00440E12" w:rsidRDefault="00B647B8" w:rsidP="00440E12">
      <w:pPr>
        <w:pStyle w:val="FootnoteText"/>
        <w:ind w:left="567" w:hanging="567"/>
        <w:rPr>
          <w:sz w:val="24"/>
          <w:lang w:val="hu-HU"/>
        </w:rPr>
      </w:pPr>
      <w:r w:rsidRPr="00440E12">
        <w:rPr>
          <w:rStyle w:val="FootnoteReference"/>
          <w:sz w:val="24"/>
          <w:lang w:val="hu-HU"/>
        </w:rPr>
        <w:footnoteRef/>
      </w:r>
      <w:r w:rsidR="00440E12" w:rsidRPr="00440E12">
        <w:rPr>
          <w:sz w:val="24"/>
          <w:lang w:val="hu-HU"/>
        </w:rPr>
        <w:t xml:space="preserve"> </w:t>
      </w:r>
      <w:r w:rsidR="00440E12" w:rsidRPr="00440E12">
        <w:rPr>
          <w:sz w:val="24"/>
          <w:lang w:val="hu-HU"/>
        </w:rPr>
        <w:tab/>
      </w:r>
      <w:r w:rsidRPr="00440E12">
        <w:rPr>
          <w:sz w:val="24"/>
          <w:lang w:val="hu-HU"/>
        </w:rPr>
        <w:t>HL L 433</w:t>
      </w:r>
      <w:r w:rsidR="006A13C8">
        <w:rPr>
          <w:sz w:val="24"/>
          <w:lang w:val="hu-HU"/>
        </w:rPr>
        <w:t>.</w:t>
      </w:r>
      <w:r w:rsidRPr="00440E12">
        <w:rPr>
          <w:sz w:val="24"/>
          <w:lang w:val="hu-HU"/>
        </w:rPr>
        <w:t xml:space="preserve"> I, 2020.12.22</w:t>
      </w:r>
      <w:proofErr w:type="gramStart"/>
      <w:r w:rsidRPr="00440E12">
        <w:rPr>
          <w:sz w:val="24"/>
          <w:lang w:val="hu-HU"/>
        </w:rPr>
        <w:t>.,</w:t>
      </w:r>
      <w:proofErr w:type="gramEnd"/>
      <w:r w:rsidRPr="00440E12">
        <w:rPr>
          <w:sz w:val="24"/>
          <w:lang w:val="hu-HU"/>
        </w:rPr>
        <w:t xml:space="preserve"> 28. o., ELI: </w:t>
      </w:r>
      <w:hyperlink r:id="rId4" w:history="1">
        <w:r w:rsidRPr="00440E12">
          <w:rPr>
            <w:rStyle w:val="Hyperlink"/>
            <w:sz w:val="24"/>
            <w:lang w:val="hu-HU"/>
          </w:rPr>
          <w:t>https://eur-lex.europa.eu/eli/agree_interinstit/2020/1222/oj</w:t>
        </w:r>
      </w:hyperlink>
      <w:r w:rsidRPr="00440E12">
        <w:rPr>
          <w:sz w:val="24"/>
          <w:lang w:val="hu-HU"/>
        </w:rPr>
        <w:t>.</w:t>
      </w:r>
    </w:p>
  </w:footnote>
  <w:footnote w:id="6">
    <w:p w:rsidR="00B647B8" w:rsidRPr="00440E12" w:rsidRDefault="00B647B8" w:rsidP="00440E12">
      <w:pPr>
        <w:pStyle w:val="FootnoteText"/>
        <w:ind w:left="567" w:hanging="567"/>
        <w:rPr>
          <w:sz w:val="24"/>
          <w:lang w:val="hu-HU"/>
        </w:rPr>
      </w:pPr>
      <w:r w:rsidRPr="00440E12">
        <w:rPr>
          <w:rStyle w:val="FootnoteReference"/>
          <w:sz w:val="24"/>
          <w:lang w:val="hu-HU"/>
        </w:rPr>
        <w:footnoteRef/>
      </w:r>
      <w:r w:rsidR="00440E12" w:rsidRPr="00440E12">
        <w:rPr>
          <w:sz w:val="24"/>
          <w:lang w:val="hu-HU"/>
        </w:rPr>
        <w:t xml:space="preserve"> </w:t>
      </w:r>
      <w:r w:rsidR="00440E12" w:rsidRPr="00440E12">
        <w:rPr>
          <w:sz w:val="24"/>
          <w:lang w:val="hu-HU"/>
        </w:rPr>
        <w:tab/>
      </w:r>
      <w:r w:rsidRPr="00440E12">
        <w:rPr>
          <w:sz w:val="24"/>
          <w:lang w:val="hu-HU"/>
        </w:rPr>
        <w:t>HL L 424., 2020.12.15</w:t>
      </w:r>
      <w:proofErr w:type="gramStart"/>
      <w:r w:rsidRPr="00440E12">
        <w:rPr>
          <w:sz w:val="24"/>
          <w:lang w:val="hu-HU"/>
        </w:rPr>
        <w:t>.,</w:t>
      </w:r>
      <w:proofErr w:type="gramEnd"/>
      <w:r w:rsidRPr="00440E12">
        <w:rPr>
          <w:sz w:val="24"/>
          <w:lang w:val="hu-HU"/>
        </w:rPr>
        <w:t xml:space="preserve"> 1.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E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E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0E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4"/>
    <w:docVar w:name="dvlangue" w:val="HU"/>
    <w:docVar w:name="dvnumam" w:val="0"/>
    <w:docVar w:name="dvpe" w:val="763.033"/>
    <w:docVar w:name="dvrapporteur" w:val="Előadó: "/>
    <w:docVar w:name="dvtitre" w:val="Az Európai Parlament 2024.  ...-i állásfoglalása az Európai Unió 2024. évi pénzügyi évre vonatkozó, 2/2024. számú költségvetés-módosítási tervezetéről – a 2023. évi pénzügyi év többletének a költségvetésbe való beviteléről – szóló tanácsi álláspontról(12081/2024 – C10-0107/2024 – 2024/0089(BUD))"/>
  </w:docVars>
  <w:rsids>
    <w:rsidRoot w:val="005E0AF5"/>
    <w:rsid w:val="00002272"/>
    <w:rsid w:val="00064002"/>
    <w:rsid w:val="000677B9"/>
    <w:rsid w:val="000831BA"/>
    <w:rsid w:val="000A42CC"/>
    <w:rsid w:val="000A7F1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E1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0AF5"/>
    <w:rsid w:val="005F1B17"/>
    <w:rsid w:val="006037C0"/>
    <w:rsid w:val="006631B6"/>
    <w:rsid w:val="00680577"/>
    <w:rsid w:val="006A13C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7B8"/>
    <w:rsid w:val="00BD48FE"/>
    <w:rsid w:val="00BD7BD8"/>
    <w:rsid w:val="00BE6ADC"/>
    <w:rsid w:val="00C05BFE"/>
    <w:rsid w:val="00C23CD4"/>
    <w:rsid w:val="00C61C0C"/>
    <w:rsid w:val="00C941CB"/>
    <w:rsid w:val="00C96B3A"/>
    <w:rsid w:val="00CC2357"/>
    <w:rsid w:val="00CF071A"/>
    <w:rsid w:val="00D058B8"/>
    <w:rsid w:val="00D56C11"/>
    <w:rsid w:val="00D57759"/>
    <w:rsid w:val="00D834A0"/>
    <w:rsid w:val="00D872DF"/>
    <w:rsid w:val="00D91E21"/>
    <w:rsid w:val="00DA7FCD"/>
    <w:rsid w:val="00E365E1"/>
    <w:rsid w:val="00E61FF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49AD64"/>
  <w15:chartTrackingRefBased/>
  <w15:docId w15:val="{67B9344F-59BF-43EF-AE93-539527B5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647B8"/>
    <w:pPr>
      <w:spacing w:before="480" w:after="240"/>
    </w:pPr>
  </w:style>
  <w:style w:type="paragraph" w:customStyle="1" w:styleId="NormalHanging12a">
    <w:name w:val="NormalHanging12a"/>
    <w:basedOn w:val="Normal"/>
    <w:rsid w:val="00B647B8"/>
    <w:pPr>
      <w:spacing w:after="240"/>
      <w:ind w:left="567" w:hanging="567"/>
    </w:pPr>
  </w:style>
  <w:style w:type="character" w:styleId="Hyperlink">
    <w:name w:val="Hyperlink"/>
    <w:basedOn w:val="DefaultParagraphFont"/>
    <w:rsid w:val="00B647B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577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775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0/2093/oj" TargetMode="External"/><Relationship Id="rId2" Type="http://schemas.openxmlformats.org/officeDocument/2006/relationships/hyperlink" Target="http://data.europa.eu/eli/budget/2024/207/oj" TargetMode="External"/><Relationship Id="rId1" Type="http://schemas.openxmlformats.org/officeDocument/2006/relationships/hyperlink" Target="https://eur-lex.europa.eu/eli/reg/2018/1046/oj?eliuri=eli%3Areg%3A2018%3A1046%3Aoj&amp;locale=hu" TargetMode="External"/><Relationship Id="rId4" Type="http://schemas.openxmlformats.org/officeDocument/2006/relationships/hyperlink" Target="https://eur-lex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0DE95-944D-454D-8A50-59A720E0E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2024-10-22T10:29:00Z</dcterms:created>
  <dcterms:modified xsi:type="dcterms:W3CDTF">2024-10-22T10:29:00Z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A10-0005/2024</vt:lpwstr>
  </property>
  <property fmtid="{D5CDD505-2E9C-101B-9397-08002B2CF9AE}" pid="4" name="&lt;Type&gt;">
    <vt:lpwstr>RR</vt:lpwstr>
  </property>
</Properties>
</file>