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1E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1E9E" w:rsidRDefault="00521853" w:rsidP="0010095E">
            <w:pPr>
              <w:pStyle w:val="EPName"/>
            </w:pPr>
            <w:bookmarkStart w:id="0" w:name="_GoBack"/>
            <w:bookmarkEnd w:id="0"/>
            <w:r w:rsidRPr="00B51E9E">
              <w:t>Parlamento europeo</w:t>
            </w:r>
          </w:p>
          <w:p w:rsidR="00751A4A" w:rsidRPr="00B51E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1E9E">
              <w:t>2024</w:t>
            </w:r>
            <w:r w:rsidR="00817416" w:rsidRPr="00B51E9E">
              <w:t>-202</w:t>
            </w:r>
            <w:r w:rsidRPr="00B51E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1E9E" w:rsidRDefault="00187494" w:rsidP="0010095E">
            <w:pPr>
              <w:pStyle w:val="EPLogo"/>
            </w:pPr>
            <w:r w:rsidRPr="00B51E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1E9E" w:rsidRDefault="00D058B8" w:rsidP="004C5D52">
      <w:pPr>
        <w:pStyle w:val="LineTop"/>
      </w:pPr>
    </w:p>
    <w:p w:rsidR="00680577" w:rsidRPr="00B51E9E" w:rsidRDefault="00521853" w:rsidP="00680577">
      <w:pPr>
        <w:pStyle w:val="EPBodyTA1"/>
      </w:pPr>
      <w:r w:rsidRPr="00B51E9E">
        <w:t>TESTI APPROVATI</w:t>
      </w:r>
    </w:p>
    <w:p w:rsidR="00D058B8" w:rsidRPr="00B51E9E" w:rsidRDefault="00D058B8" w:rsidP="00D058B8">
      <w:pPr>
        <w:pStyle w:val="LineBottom"/>
      </w:pPr>
    </w:p>
    <w:p w:rsidR="00521853" w:rsidRPr="00B51E9E" w:rsidRDefault="00521853" w:rsidP="00521853">
      <w:pPr>
        <w:pStyle w:val="ATHeading1"/>
      </w:pPr>
      <w:bookmarkStart w:id="1" w:name="TANumber"/>
      <w:r w:rsidRPr="00B51E9E">
        <w:t>P10_TA(2024)00</w:t>
      </w:r>
      <w:r w:rsidR="00B51E9E" w:rsidRPr="00B51E9E">
        <w:t>23</w:t>
      </w:r>
      <w:bookmarkEnd w:id="1"/>
    </w:p>
    <w:p w:rsidR="00521853" w:rsidRPr="00B51E9E" w:rsidRDefault="00521853" w:rsidP="00521853">
      <w:pPr>
        <w:pStyle w:val="ATHeading2"/>
      </w:pPr>
      <w:bookmarkStart w:id="2" w:name="title"/>
      <w:r w:rsidRPr="00B51E9E">
        <w:t>Progetto di bilancio rettificativo n. 2/2024: iscrizione dell'eccedenza dell'esercizio 2023</w:t>
      </w:r>
      <w:bookmarkEnd w:id="2"/>
    </w:p>
    <w:p w:rsidR="00521853" w:rsidRPr="00B51E9E" w:rsidRDefault="00521853" w:rsidP="00521853">
      <w:pPr>
        <w:rPr>
          <w:i/>
          <w:vanish/>
        </w:rPr>
      </w:pPr>
      <w:r w:rsidRPr="00B51E9E">
        <w:rPr>
          <w:i/>
        </w:rPr>
        <w:fldChar w:fldCharType="begin"/>
      </w:r>
      <w:r w:rsidRPr="00B51E9E">
        <w:rPr>
          <w:i/>
        </w:rPr>
        <w:instrText xml:space="preserve"> TC"(</w:instrText>
      </w:r>
      <w:bookmarkStart w:id="3" w:name="DocNumber"/>
      <w:r w:rsidRPr="00B51E9E">
        <w:rPr>
          <w:i/>
        </w:rPr>
        <w:instrText>A10-0005/2024</w:instrText>
      </w:r>
      <w:bookmarkEnd w:id="3"/>
      <w:r w:rsidRPr="00B51E9E">
        <w:rPr>
          <w:i/>
        </w:rPr>
        <w:instrText xml:space="preserve"> - Relatore: Siegfried Mureşan)"\l3 \n&gt; \* MERGEFORMAT </w:instrText>
      </w:r>
      <w:r w:rsidRPr="00B51E9E">
        <w:rPr>
          <w:i/>
        </w:rPr>
        <w:fldChar w:fldCharType="end"/>
      </w:r>
    </w:p>
    <w:p w:rsidR="00521853" w:rsidRPr="00B51E9E" w:rsidRDefault="00521853" w:rsidP="00521853">
      <w:pPr>
        <w:rPr>
          <w:vanish/>
        </w:rPr>
      </w:pPr>
      <w:bookmarkStart w:id="4" w:name="Commission"/>
      <w:r w:rsidRPr="00B51E9E">
        <w:rPr>
          <w:vanish/>
        </w:rPr>
        <w:t>Commissione per i bilanci</w:t>
      </w:r>
      <w:bookmarkEnd w:id="4"/>
    </w:p>
    <w:p w:rsidR="00521853" w:rsidRPr="00B51E9E" w:rsidRDefault="00521853" w:rsidP="00521853">
      <w:pPr>
        <w:rPr>
          <w:vanish/>
        </w:rPr>
      </w:pPr>
      <w:bookmarkStart w:id="5" w:name="PE"/>
      <w:r w:rsidRPr="00B51E9E">
        <w:rPr>
          <w:vanish/>
        </w:rPr>
        <w:t>PE763.033</w:t>
      </w:r>
      <w:bookmarkEnd w:id="5"/>
    </w:p>
    <w:p w:rsidR="00521853" w:rsidRPr="00B51E9E" w:rsidRDefault="00284E59" w:rsidP="00521853">
      <w:pPr>
        <w:pStyle w:val="ATHeading3"/>
      </w:pPr>
      <w:bookmarkStart w:id="6" w:name="Sujet"/>
      <w:r w:rsidRPr="00B51E9E">
        <w:t xml:space="preserve">Risoluzione </w:t>
      </w:r>
      <w:r w:rsidR="00521853" w:rsidRPr="00B51E9E">
        <w:t>del Parlamento europeo del 2</w:t>
      </w:r>
      <w:r w:rsidR="00DC7A58" w:rsidRPr="00B51E9E">
        <w:t>2</w:t>
      </w:r>
      <w:r w:rsidR="00521853" w:rsidRPr="00B51E9E">
        <w:t xml:space="preserve"> ottobre 2024 concernente la posizione del Consiglio sul progetto di bilancio rettificativo n. 2/2024 dell'Unione europea per l'esercizio 2024: iscrizione dell'eccedenza dell'esercizio 2023</w:t>
      </w:r>
      <w:bookmarkEnd w:id="6"/>
      <w:r w:rsidR="00521853" w:rsidRPr="00B51E9E">
        <w:t xml:space="preserve"> </w:t>
      </w:r>
      <w:bookmarkStart w:id="7" w:name="References"/>
      <w:r w:rsidR="00521853" w:rsidRPr="00B51E9E">
        <w:t>(12081/2024 – C10-0107/2024 – 2024/0089(BUD))</w:t>
      </w:r>
      <w:bookmarkEnd w:id="7"/>
    </w:p>
    <w:p w:rsidR="005E7505" w:rsidRPr="00B51E9E" w:rsidRDefault="005E7505" w:rsidP="005E7505">
      <w:pPr>
        <w:pStyle w:val="EPComma"/>
      </w:pPr>
      <w:bookmarkStart w:id="8" w:name="TextBodyBegin"/>
      <w:bookmarkEnd w:id="8"/>
      <w:r w:rsidRPr="00B51E9E">
        <w:rPr>
          <w:i/>
        </w:rPr>
        <w:t>Il Parlamento europeo</w:t>
      </w:r>
      <w:r w:rsidRPr="00B51E9E">
        <w:t>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l'articolo 314 del trattato sul funzionamento dell'Unione europea,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l'articolo 106 bis del trattato che istituisce la Comunità europea dell'energia atomica,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il regolamento (UE, Euratom) 2018/1046 del Parlamento europeo e del Consiglio, del 18 luglio 2018, che stabilisce le regole finanziarie applicabili al bilancio generale dell'Unione, che modifica i regolamenti (UE) n. 1296/2013, (UE) n. 1301/2013, (UE) n. 1303/2013, (UE) n. 1304/2013, (UE) n. 1309/2013, (UE) n. 1316/2013, (UE) n. 223/2014, (UE) n. 283/2014 e la decisione n. 541/2014/UE e abroga il regolamento (UE, Euratom) n. 966/2012</w:t>
      </w:r>
      <w:r w:rsidRPr="00B51E9E">
        <w:rPr>
          <w:rStyle w:val="FootnoteReference"/>
        </w:rPr>
        <w:footnoteReference w:id="1"/>
      </w:r>
      <w:r w:rsidRPr="00B51E9E">
        <w:t>, in particolare l'articolo 44,</w:t>
      </w:r>
    </w:p>
    <w:p w:rsidR="00284E59" w:rsidRPr="00B51E9E" w:rsidRDefault="00284E59" w:rsidP="005E7505">
      <w:pPr>
        <w:pStyle w:val="NormalHanging12a"/>
      </w:pPr>
      <w:r w:rsidRPr="00B51E9E">
        <w:t>–</w:t>
      </w:r>
      <w:r w:rsidRPr="00B51E9E">
        <w:tab/>
        <w:t>visto il regolamento (UE, Euratom) 2024/2509 del Parlamento europeo e del Consiglio, del 23 settembre 2024, che stabilisce le regole finanziarie applicabili al bilancio generale dell'Unione</w:t>
      </w:r>
      <w:r w:rsidRPr="00B51E9E">
        <w:rPr>
          <w:rStyle w:val="FootnoteReference"/>
        </w:rPr>
        <w:footnoteReference w:id="2"/>
      </w:r>
      <w:r w:rsidRPr="00B51E9E">
        <w:t>, in particolare l'articolo 44,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il bilancio generale dell'Unione europea per l'esercizio 2024, definitivamente adottato il 22 novembre 2023</w:t>
      </w:r>
      <w:r w:rsidRPr="00B51E9E">
        <w:rPr>
          <w:rStyle w:val="FootnoteReference"/>
        </w:rPr>
        <w:footnoteReference w:id="3"/>
      </w:r>
      <w:r w:rsidRPr="00B51E9E">
        <w:t>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il regolamento (UE, Euratom) 2020/2093 del Consiglio, del 17 dicembre 2020, che stabilisce il quadro finanziario pluriennale per il periodo 2021-2027</w:t>
      </w:r>
      <w:r w:rsidRPr="00B51E9E">
        <w:rPr>
          <w:rStyle w:val="FootnoteReference"/>
        </w:rPr>
        <w:footnoteReference w:id="4"/>
      </w:r>
      <w:r w:rsidRPr="00B51E9E">
        <w:t>,</w:t>
      </w:r>
    </w:p>
    <w:p w:rsidR="005E7505" w:rsidRPr="00B51E9E" w:rsidRDefault="005E7505" w:rsidP="005E7505">
      <w:pPr>
        <w:pStyle w:val="NormalHanging12a"/>
      </w:pPr>
      <w:r w:rsidRPr="00B51E9E">
        <w:lastRenderedPageBreak/>
        <w:t>–</w:t>
      </w:r>
      <w:r w:rsidRPr="00B51E9E">
        <w:tab/>
        <w:t>visto l'accordo interistituzionale, del 16 dicembre 2020, tra il Parlamento europeo, il Consiglio e la Commissione sulla disciplina di bilancio, sulla cooperazione in materia di bilancio e sulla sana gestione finanziaria, nonché su nuove risorse proprie, compresa una tabella di marcia verso l'introduzione di nuove risorse proprie</w:t>
      </w:r>
      <w:r w:rsidRPr="00B51E9E">
        <w:rPr>
          <w:rStyle w:val="FootnoteReference"/>
        </w:rPr>
        <w:footnoteReference w:id="5"/>
      </w:r>
      <w:r w:rsidRPr="00B51E9E">
        <w:t>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vista la decisione (UE, Euratom) 2020/2053 del Consiglio, del 14 dicembre 2020, relativa al sistema delle risorse proprie dell'Unione europea e che abroga la decisione 2014/335/UE, Euratom</w:t>
      </w:r>
      <w:r w:rsidRPr="00B51E9E">
        <w:rPr>
          <w:rStyle w:val="FootnoteReference"/>
        </w:rPr>
        <w:footnoteReference w:id="6"/>
      </w:r>
      <w:r w:rsidRPr="00B51E9E">
        <w:t>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visto il progetto di bilancio rettificativo n. 2/2024 adottato dalla Commissione il 9 aprile 2024 (COM(2024)0920),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vista la posizione sul progetto di bilancio rettificativo n. 2/2024 adottata dal Consiglio il 13 settembre 2024 e comunicata al Parlamento europeo il 16 settembre 2024 (12081/2024 – C10</w:t>
      </w:r>
      <w:r w:rsidRPr="00B51E9E">
        <w:noBreakHyphen/>
        <w:t>0107/2024),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 xml:space="preserve">visti gli articoli 96 e 98 del suo regolamento, </w:t>
      </w:r>
    </w:p>
    <w:p w:rsidR="005E7505" w:rsidRPr="00B51E9E" w:rsidRDefault="005E7505" w:rsidP="005E7505">
      <w:pPr>
        <w:pStyle w:val="NormalHanging12a"/>
      </w:pPr>
      <w:r w:rsidRPr="00B51E9E">
        <w:t>–</w:t>
      </w:r>
      <w:r w:rsidRPr="00B51E9E">
        <w:tab/>
        <w:t>vista la relazione della commissione per i bilanci (A10-0005/2024),</w:t>
      </w:r>
    </w:p>
    <w:p w:rsidR="005E7505" w:rsidRPr="00B51E9E" w:rsidRDefault="005E7505" w:rsidP="005E7505">
      <w:pPr>
        <w:pStyle w:val="NormalHanging12a"/>
      </w:pPr>
      <w:r w:rsidRPr="00B51E9E">
        <w:t>A.</w:t>
      </w:r>
      <w:r w:rsidRPr="00B51E9E">
        <w:tab/>
        <w:t>considerando che l'obiettivo del progetto di bilancio rettificativo n. 2/2024 è l'iscrizione nel bilancio 2024 dell'eccedenza dell'esercizio 2023, che è pari a 633 milioni di EUR;</w:t>
      </w:r>
    </w:p>
    <w:p w:rsidR="005E7505" w:rsidRPr="00B51E9E" w:rsidRDefault="005E7505" w:rsidP="005E7505">
      <w:pPr>
        <w:pStyle w:val="NormalHanging12a"/>
      </w:pPr>
      <w:r w:rsidRPr="00B51E9E">
        <w:t>B.</w:t>
      </w:r>
      <w:r w:rsidRPr="00B51E9E">
        <w:tab/>
        <w:t>considerando che tale eccedenza è dovuta per lo più a un risultato positivo sul fronte delle entrate, pari a 238,7 milioni di EUR, e a una sottoesecuzione delle spese pari a 393,9 milioni di EUR;</w:t>
      </w:r>
    </w:p>
    <w:p w:rsidR="005E7505" w:rsidRPr="00B51E9E" w:rsidRDefault="005E7505" w:rsidP="005E7505">
      <w:pPr>
        <w:pStyle w:val="NormalHanging12a"/>
      </w:pPr>
      <w:r w:rsidRPr="00B51E9E">
        <w:t>C.</w:t>
      </w:r>
      <w:r w:rsidRPr="00B51E9E">
        <w:tab/>
        <w:t>considerando che, sul versante delle entrate, il volume dell'eccedenza è dovuto principalmente a un importo di 1 766 milioni di EUR in entrate finanziarie, interessi di mora e ammende, mentre i dazi doganali hanno raggiunto un importo inferiore rispetto al previsto di 1 649 milioni di EUR; che l'eccedenza di 107 milioni di EUR nelle entrate amministrative è dovuta principalmente a un tasso di partecipazione al regime pensionistico superiore alle previsioni e all'applicazione di un adeguamento intermedio delle retribuzioni nel gennaio 2023, che ha aumentato il livello delle imposte, dei prelievi e dei contributi pensionistici;</w:t>
      </w:r>
    </w:p>
    <w:p w:rsidR="005E7505" w:rsidRPr="00B51E9E" w:rsidRDefault="005E7505" w:rsidP="005E7505">
      <w:pPr>
        <w:pStyle w:val="NormalHanging12a"/>
      </w:pPr>
      <w:r w:rsidRPr="00B51E9E">
        <w:t>D.</w:t>
      </w:r>
      <w:r w:rsidRPr="00B51E9E">
        <w:tab/>
        <w:t>considerando che, sul versante delle spese, la sottoesecuzione dei pagamenti da parte della Commissione è ammontata a 70 milioni di EUR (lo 0,1 % degli stanziamenti di pagamento autorizzati); che le altre istituzioni hanno annullato pagamenti per 48 milioni di EUR, mantenendo così il basso tasso di sottoesecuzione del bilancio 2022;</w:t>
      </w:r>
    </w:p>
    <w:p w:rsidR="005E7505" w:rsidRPr="00B51E9E" w:rsidRDefault="005E7505" w:rsidP="00B54FD1">
      <w:pPr>
        <w:widowControl/>
        <w:spacing w:after="240"/>
        <w:ind w:left="567" w:hanging="567"/>
      </w:pPr>
      <w:r w:rsidRPr="00B51E9E">
        <w:t>E.</w:t>
      </w:r>
      <w:r w:rsidRPr="00B51E9E">
        <w:tab/>
        <w:t xml:space="preserve">considerando che, con il progetto di bilancio rettificativo n. 2/2024, le riduzioni forfettarie annuali dei contributi RNL di cui beneficiano Germania, Paesi Bassi, Danimarca, Svezia e Austria ammontano a circa 5,4 miliardi di EUR netti; </w:t>
      </w:r>
    </w:p>
    <w:p w:rsidR="005E7505" w:rsidRPr="00B51E9E" w:rsidRDefault="005E7505" w:rsidP="00B54FD1">
      <w:pPr>
        <w:spacing w:after="240"/>
        <w:ind w:left="567" w:hanging="567"/>
      </w:pPr>
      <w:r w:rsidRPr="00B51E9E">
        <w:t>F.</w:t>
      </w:r>
      <w:r w:rsidRPr="00B51E9E">
        <w:tab/>
        <w:t xml:space="preserve">considerando che i margini e la flessibilità nel bilancio dell'Unione rimangono molto limitati nonostante la revisione del quadro finanziario pluriennale (QFP) e l'introduzione del nuovo strumento EURI destinato a coprire l'aumento degli oneri finanziari dello </w:t>
      </w:r>
      <w:r w:rsidRPr="00B51E9E">
        <w:lastRenderedPageBreak/>
        <w:t>strumento dell'Unione europea per la ripresa, che sono per natura volatili e causa di incertezza per il bilancio; che, in questo difficile contesto, le esigenze di bilancio aumentano;</w:t>
      </w:r>
    </w:p>
    <w:p w:rsidR="005E7505" w:rsidRPr="00B51E9E" w:rsidRDefault="005E7505" w:rsidP="00B54FD1">
      <w:pPr>
        <w:pStyle w:val="NormalHanging12a"/>
      </w:pPr>
      <w:r w:rsidRPr="00B51E9E">
        <w:t>1.</w:t>
      </w:r>
      <w:r w:rsidRPr="00B51E9E">
        <w:tab/>
        <w:t>prende atto del progetto di bilancio rettificativo n. 2/2024 quale presentato dalla Commissione, che è destinato a iscrivere in bilancio l'eccedenza dell'esercizio 2023, per un importo pari a 633 milioni di EUR, in conformità dell'articolo 18, paragrafo 3, del regolamento finanziario;</w:t>
      </w:r>
    </w:p>
    <w:p w:rsidR="005E7505" w:rsidRPr="00B51E9E" w:rsidRDefault="005E7505" w:rsidP="00B54FD1">
      <w:pPr>
        <w:pStyle w:val="NormalHanging12a"/>
      </w:pPr>
      <w:r w:rsidRPr="00B51E9E">
        <w:t>2.</w:t>
      </w:r>
      <w:r w:rsidRPr="00B51E9E">
        <w:tab/>
        <w:t xml:space="preserve">accoglie con favore il fatto che l'eccedenza del 2023 sia notevolmente inferiore a quella del 2022, il che indica un miglioramento delle previsioni e della gestione del bilancio da parte della Commissione; </w:t>
      </w:r>
    </w:p>
    <w:p w:rsidR="005E7505" w:rsidRPr="00B51E9E" w:rsidRDefault="005E7505" w:rsidP="00B54FD1">
      <w:pPr>
        <w:pStyle w:val="NormalHanging12a"/>
      </w:pPr>
      <w:r w:rsidRPr="00B51E9E">
        <w:t>3.</w:t>
      </w:r>
      <w:r w:rsidRPr="00B51E9E">
        <w:tab/>
        <w:t>sottolinea che l'eccedenza riduce il contributo totale degli Stati membri al finanziamento del bilancio 2024 in un momento in cui il fabbisogno di finanziamento rimane elevato e i margini all'interno del bilancio dell'Unione sono estremamente limitati; sottolinea che il bilancio deve mantenere sufficiente flessibilità per consentire all'Unione di far fronte a eventi imprevisti e a nuove priorità emergenti;</w:t>
      </w:r>
    </w:p>
    <w:p w:rsidR="005E7505" w:rsidRPr="00B51E9E" w:rsidRDefault="005E7505" w:rsidP="005E7505">
      <w:pPr>
        <w:pStyle w:val="NormalHanging12a"/>
      </w:pPr>
      <w:r w:rsidRPr="00B51E9E">
        <w:t>4.</w:t>
      </w:r>
      <w:r w:rsidRPr="00B51E9E">
        <w:tab/>
        <w:t>ricorda la sua posizione di lunga data secondo cui le ammende e i canoni dovrebbero essere utilizzati come entrate supplementari per il bilancio dell'Unione e non dovrebbero comportare una corrispondente diminuzione dei contributi basati sull'RNL;</w:t>
      </w:r>
    </w:p>
    <w:p w:rsidR="005E7505" w:rsidRPr="00B51E9E" w:rsidRDefault="005E7505" w:rsidP="005E7505">
      <w:pPr>
        <w:widowControl/>
        <w:spacing w:before="120" w:after="120"/>
        <w:ind w:left="567" w:hanging="567"/>
      </w:pPr>
      <w:r w:rsidRPr="00B51E9E">
        <w:t>5.</w:t>
      </w:r>
      <w:r w:rsidRPr="00B51E9E">
        <w:tab/>
        <w:t>prende atto del calcolo delle riduzioni forfettarie annuali dei contributi RNL adeguate per i cinque Stati membri beneficiari, che ammontano a circa 5,4 miliardi di EUR netti; sottolinea che tali riduzioni sono collegate all'inflazione e sono pertanto aumentate a un tasso più elevato rispetto ai massimali del QFP, che sono adeguati annualmente sulla base del deflatore del 2 %; sottolinea che tale anomalia aumenta l'onere per gli altri Stati membri;</w:t>
      </w:r>
    </w:p>
    <w:p w:rsidR="005E7505" w:rsidRPr="00B51E9E" w:rsidRDefault="005E7505" w:rsidP="005E7505">
      <w:pPr>
        <w:pStyle w:val="NormalHanging12a"/>
        <w:rPr>
          <w:szCs w:val="24"/>
        </w:rPr>
      </w:pPr>
      <w:r w:rsidRPr="00B51E9E">
        <w:t>6.</w:t>
      </w:r>
      <w:r w:rsidRPr="00B51E9E">
        <w:tab/>
        <w:t xml:space="preserve">sottolinea la necessità di entrate sostenibili per il bilancio dell'Unione; deplora pertanto la mancanza di progressi in sede di Consiglio per quanto riguarda la riforma del sistema delle risorse proprie </w:t>
      </w:r>
      <w:r w:rsidRPr="00B51E9E">
        <w:rPr>
          <w:color w:val="1E1E1F"/>
          <w:shd w:val="clear" w:color="auto" w:fill="FFFFFF"/>
        </w:rPr>
        <w:t>in linea con la tabella di marcia dell'accordo interistituzionale; r</w:t>
      </w:r>
      <w:r w:rsidRPr="00B51E9E">
        <w:t xml:space="preserve">icorda </w:t>
      </w:r>
      <w:r w:rsidRPr="00B51E9E">
        <w:rPr>
          <w:color w:val="1E1E1F"/>
          <w:shd w:val="clear" w:color="auto" w:fill="FFFFFF"/>
        </w:rPr>
        <w:t>la propria posizione a sostegno delle proposte modificate della Commissione ed e</w:t>
      </w:r>
      <w:r w:rsidRPr="00B51E9E">
        <w:t>sorta il Consiglio ad adottare rapidamente tali proposte al fine di incrementare le risorse proprie a disposizione del bilancio dell'Unione;</w:t>
      </w:r>
    </w:p>
    <w:p w:rsidR="005E7505" w:rsidRPr="00B51E9E" w:rsidRDefault="005E7505" w:rsidP="005E7505">
      <w:pPr>
        <w:pStyle w:val="NormalHanging12a"/>
      </w:pPr>
      <w:r w:rsidRPr="00B51E9E">
        <w:t>7.</w:t>
      </w:r>
      <w:r w:rsidRPr="00B51E9E">
        <w:tab/>
        <w:t>approva la posizione del Consiglio sul progetto di bilancio rettificativo n. 2/2024;</w:t>
      </w:r>
    </w:p>
    <w:p w:rsidR="005E7505" w:rsidRPr="00B51E9E" w:rsidRDefault="005E7505" w:rsidP="005E7505">
      <w:pPr>
        <w:pStyle w:val="NormalHanging12a"/>
      </w:pPr>
      <w:r w:rsidRPr="00B51E9E">
        <w:t>8.</w:t>
      </w:r>
      <w:r w:rsidRPr="00B51E9E">
        <w:tab/>
        <w:t>incarica la sua Presidente di constatare che il bilancio rettificativo n. </w:t>
      </w:r>
      <w:r w:rsidR="00284E59" w:rsidRPr="00B51E9E">
        <w:t>3</w:t>
      </w:r>
      <w:r w:rsidRPr="00B51E9E">
        <w:t xml:space="preserve">/2024 è definitivamente adottato e di provvedere alla sua pubblicazione nella </w:t>
      </w:r>
      <w:r w:rsidRPr="00B51E9E">
        <w:rPr>
          <w:i/>
        </w:rPr>
        <w:t>Gazzetta ufficiale dell'Unione europea</w:t>
      </w:r>
      <w:r w:rsidRPr="00B51E9E">
        <w:t>;</w:t>
      </w:r>
    </w:p>
    <w:p w:rsidR="005E7505" w:rsidRPr="00B51E9E" w:rsidRDefault="005E7505" w:rsidP="005E7505">
      <w:pPr>
        <w:pStyle w:val="NormalHanging12a"/>
      </w:pPr>
      <w:r w:rsidRPr="00B51E9E">
        <w:t>9.</w:t>
      </w:r>
      <w:r w:rsidRPr="00B51E9E">
        <w:tab/>
        <w:t>incarica la sua Presidente di trasmettere la presente risoluzione al Consiglio e alla Commissione nonché alle altre istituzioni e agli organi interessati e ai parlamenti nazionali.</w:t>
      </w:r>
    </w:p>
    <w:sectPr w:rsidR="005E7505" w:rsidRPr="00B51E9E" w:rsidSect="00D12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853" w:rsidRPr="00D1280C" w:rsidRDefault="00521853">
      <w:r w:rsidRPr="00D1280C">
        <w:separator/>
      </w:r>
    </w:p>
  </w:endnote>
  <w:endnote w:type="continuationSeparator" w:id="0">
    <w:p w:rsidR="00521853" w:rsidRPr="00D1280C" w:rsidRDefault="00521853">
      <w:r w:rsidRPr="00D128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853" w:rsidRPr="00D1280C" w:rsidRDefault="00521853">
      <w:r w:rsidRPr="00D1280C">
        <w:separator/>
      </w:r>
    </w:p>
  </w:footnote>
  <w:footnote w:type="continuationSeparator" w:id="0">
    <w:p w:rsidR="00521853" w:rsidRPr="00D1280C" w:rsidRDefault="00521853">
      <w:r w:rsidRPr="00D1280C">
        <w:continuationSeparator/>
      </w:r>
    </w:p>
  </w:footnote>
  <w:footnote w:id="1">
    <w:p w:rsidR="005E7505" w:rsidRPr="00D1280C" w:rsidRDefault="005E7505" w:rsidP="00D1280C">
      <w:pPr>
        <w:pStyle w:val="FootnoteText"/>
        <w:ind w:left="567" w:hanging="567"/>
        <w:rPr>
          <w:sz w:val="24"/>
          <w:lang w:val="it-IT"/>
        </w:rPr>
      </w:pPr>
      <w:r w:rsidRPr="00D1280C">
        <w:rPr>
          <w:rStyle w:val="FootnoteReference"/>
          <w:sz w:val="24"/>
          <w:lang w:val="it-IT"/>
        </w:rPr>
        <w:footnoteRef/>
      </w:r>
      <w:r w:rsidR="00D1280C" w:rsidRPr="00D1280C">
        <w:rPr>
          <w:sz w:val="24"/>
          <w:lang w:val="it-IT"/>
        </w:rPr>
        <w:t xml:space="preserve"> </w:t>
      </w:r>
      <w:r w:rsidR="00D1280C" w:rsidRPr="00D1280C">
        <w:rPr>
          <w:sz w:val="24"/>
          <w:lang w:val="it-IT"/>
        </w:rPr>
        <w:tab/>
      </w:r>
      <w:r w:rsidRPr="00D1280C">
        <w:rPr>
          <w:sz w:val="24"/>
          <w:lang w:val="it-IT"/>
        </w:rPr>
        <w:t xml:space="preserve">GU L 193 del 30.7.2018, pag. 1, ELI: </w:t>
      </w:r>
      <w:hyperlink r:id="rId1" w:history="1">
        <w:r w:rsidRPr="00D1280C">
          <w:rPr>
            <w:rStyle w:val="Hyperlink"/>
            <w:sz w:val="24"/>
            <w:lang w:val="it-IT"/>
          </w:rPr>
          <w:t>http://data.europa.eu/eli/reg/2018/1046/oj</w:t>
        </w:r>
      </w:hyperlink>
      <w:r w:rsidRPr="00D1280C">
        <w:rPr>
          <w:sz w:val="24"/>
          <w:lang w:val="it-IT"/>
        </w:rPr>
        <w:t>.</w:t>
      </w:r>
    </w:p>
  </w:footnote>
  <w:footnote w:id="2">
    <w:p w:rsidR="00284E59" w:rsidRPr="00B51E9E" w:rsidRDefault="00284E59" w:rsidP="00B51E9E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 w:rsidRPr="00B51E9E">
        <w:rPr>
          <w:lang w:val="it-IT"/>
        </w:rPr>
        <w:t xml:space="preserve"> </w:t>
      </w:r>
      <w:r w:rsidRPr="00B51E9E">
        <w:rPr>
          <w:lang w:val="it-IT"/>
        </w:rPr>
        <w:tab/>
      </w:r>
      <w:r w:rsidRPr="00B51E9E">
        <w:rPr>
          <w:sz w:val="24"/>
          <w:szCs w:val="24"/>
          <w:lang w:val="it-IT"/>
        </w:rPr>
        <w:t xml:space="preserve">GU L, 2024/2509, 26.9.2024, ELI: </w:t>
      </w:r>
      <w:hyperlink r:id="rId2" w:history="1">
        <w:r w:rsidRPr="00B51E9E">
          <w:rPr>
            <w:rStyle w:val="Hyperlink"/>
            <w:sz w:val="24"/>
            <w:szCs w:val="24"/>
            <w:lang w:val="it-IT"/>
          </w:rPr>
          <w:t>http://data.europa.eu/eli/reg/2024/2509/oj</w:t>
        </w:r>
      </w:hyperlink>
      <w:r w:rsidRPr="00B51E9E">
        <w:rPr>
          <w:sz w:val="24"/>
          <w:szCs w:val="24"/>
          <w:lang w:val="it-IT"/>
        </w:rPr>
        <w:t>.</w:t>
      </w:r>
    </w:p>
  </w:footnote>
  <w:footnote w:id="3">
    <w:p w:rsidR="005E7505" w:rsidRPr="00B51E9E" w:rsidRDefault="005E7505" w:rsidP="00D1280C">
      <w:pPr>
        <w:pStyle w:val="FootnoteText"/>
        <w:ind w:left="567" w:hanging="567"/>
        <w:rPr>
          <w:sz w:val="24"/>
          <w:lang w:val="fi-FI"/>
        </w:rPr>
      </w:pPr>
      <w:r w:rsidRPr="00D1280C">
        <w:rPr>
          <w:rStyle w:val="FootnoteReference"/>
          <w:sz w:val="24"/>
          <w:lang w:val="it-IT"/>
        </w:rPr>
        <w:footnoteRef/>
      </w:r>
      <w:r w:rsidR="00D1280C" w:rsidRPr="00B51E9E">
        <w:rPr>
          <w:sz w:val="24"/>
          <w:lang w:val="fi-FI"/>
        </w:rPr>
        <w:t xml:space="preserve"> </w:t>
      </w:r>
      <w:r w:rsidR="00D1280C" w:rsidRPr="00B51E9E">
        <w:rPr>
          <w:sz w:val="24"/>
          <w:lang w:val="fi-FI"/>
        </w:rPr>
        <w:tab/>
      </w:r>
      <w:r w:rsidRPr="00B51E9E">
        <w:rPr>
          <w:sz w:val="24"/>
          <w:lang w:val="fi-FI"/>
        </w:rPr>
        <w:t xml:space="preserve">GU L, 2024/207, 22.2.2024, ELI: </w:t>
      </w:r>
      <w:hyperlink r:id="rId3" w:history="1">
        <w:r w:rsidRPr="00B51E9E">
          <w:rPr>
            <w:rStyle w:val="Hyperlink"/>
            <w:sz w:val="24"/>
            <w:lang w:val="fi-FI"/>
          </w:rPr>
          <w:t>http://data.europa.eu/eli/budget/2024/207/oj</w:t>
        </w:r>
      </w:hyperlink>
      <w:r w:rsidRPr="00B51E9E">
        <w:rPr>
          <w:sz w:val="24"/>
          <w:lang w:val="fi-FI"/>
        </w:rPr>
        <w:t>.</w:t>
      </w:r>
    </w:p>
  </w:footnote>
  <w:footnote w:id="4">
    <w:p w:rsidR="005E7505" w:rsidRPr="00D1280C" w:rsidRDefault="005E7505" w:rsidP="00D1280C">
      <w:pPr>
        <w:pStyle w:val="FootnoteText"/>
        <w:ind w:left="567" w:hanging="567"/>
        <w:rPr>
          <w:sz w:val="24"/>
          <w:lang w:val="it-IT"/>
        </w:rPr>
      </w:pPr>
      <w:r w:rsidRPr="00D1280C">
        <w:rPr>
          <w:rStyle w:val="FootnoteReference"/>
          <w:sz w:val="24"/>
          <w:lang w:val="it-IT"/>
        </w:rPr>
        <w:footnoteRef/>
      </w:r>
      <w:r w:rsidR="00D1280C" w:rsidRPr="00D1280C">
        <w:rPr>
          <w:sz w:val="24"/>
          <w:lang w:val="it-IT"/>
        </w:rPr>
        <w:t xml:space="preserve"> </w:t>
      </w:r>
      <w:r w:rsidR="00D1280C" w:rsidRPr="00D1280C">
        <w:rPr>
          <w:sz w:val="24"/>
          <w:lang w:val="it-IT"/>
        </w:rPr>
        <w:tab/>
      </w:r>
      <w:r w:rsidRPr="00D1280C">
        <w:rPr>
          <w:sz w:val="24"/>
          <w:lang w:val="it-IT"/>
        </w:rPr>
        <w:t xml:space="preserve">GU L 433 I del 22.12.2020, pag. 11, ELI: </w:t>
      </w:r>
      <w:hyperlink r:id="rId4" w:history="1">
        <w:r w:rsidRPr="00D1280C">
          <w:rPr>
            <w:rStyle w:val="Hyperlink"/>
            <w:sz w:val="24"/>
            <w:lang w:val="it-IT"/>
          </w:rPr>
          <w:t>http://data.europa.eu/eli/reg/2020/2093/oj</w:t>
        </w:r>
      </w:hyperlink>
      <w:r w:rsidRPr="00D1280C">
        <w:rPr>
          <w:sz w:val="24"/>
          <w:lang w:val="it-IT"/>
        </w:rPr>
        <w:t>.</w:t>
      </w:r>
    </w:p>
  </w:footnote>
  <w:footnote w:id="5">
    <w:p w:rsidR="005E7505" w:rsidRPr="00D1280C" w:rsidRDefault="005E7505" w:rsidP="00D1280C">
      <w:pPr>
        <w:pStyle w:val="FootnoteText"/>
        <w:ind w:left="567" w:hanging="567"/>
        <w:rPr>
          <w:sz w:val="24"/>
          <w:lang w:val="it-IT"/>
        </w:rPr>
      </w:pPr>
      <w:r w:rsidRPr="00D1280C">
        <w:rPr>
          <w:rStyle w:val="FootnoteReference"/>
          <w:sz w:val="24"/>
          <w:lang w:val="it-IT"/>
        </w:rPr>
        <w:footnoteRef/>
      </w:r>
      <w:r w:rsidR="00D1280C" w:rsidRPr="00D1280C">
        <w:rPr>
          <w:sz w:val="24"/>
          <w:lang w:val="it-IT"/>
        </w:rPr>
        <w:t xml:space="preserve"> </w:t>
      </w:r>
      <w:r w:rsidR="00D1280C" w:rsidRPr="00D1280C">
        <w:rPr>
          <w:sz w:val="24"/>
          <w:lang w:val="it-IT"/>
        </w:rPr>
        <w:tab/>
      </w:r>
      <w:r w:rsidRPr="00D1280C">
        <w:rPr>
          <w:sz w:val="24"/>
          <w:lang w:val="it-IT"/>
        </w:rPr>
        <w:t>GU L 433 I del 22.12.2020, pag. 28, ELI</w:t>
      </w:r>
      <w:r w:rsidR="006A7167">
        <w:rPr>
          <w:sz w:val="24"/>
          <w:lang w:val="it-IT"/>
        </w:rPr>
        <w:t>:</w:t>
      </w:r>
      <w:r w:rsidRPr="00D1280C">
        <w:rPr>
          <w:sz w:val="24"/>
          <w:lang w:val="it-IT"/>
        </w:rPr>
        <w:t xml:space="preserve"> </w:t>
      </w:r>
      <w:hyperlink r:id="rId5" w:history="1">
        <w:r w:rsidRPr="00D1280C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D1280C">
        <w:rPr>
          <w:sz w:val="24"/>
          <w:lang w:val="it-IT"/>
        </w:rPr>
        <w:t>.</w:t>
      </w:r>
    </w:p>
  </w:footnote>
  <w:footnote w:id="6">
    <w:p w:rsidR="005E7505" w:rsidRPr="00D1280C" w:rsidRDefault="005E7505" w:rsidP="00D1280C">
      <w:pPr>
        <w:pStyle w:val="FootnoteText"/>
        <w:ind w:left="567" w:hanging="567"/>
        <w:rPr>
          <w:sz w:val="24"/>
          <w:lang w:val="it-IT"/>
        </w:rPr>
      </w:pPr>
      <w:r w:rsidRPr="00D1280C">
        <w:rPr>
          <w:rStyle w:val="FootnoteReference"/>
          <w:sz w:val="24"/>
          <w:lang w:val="it-IT"/>
        </w:rPr>
        <w:footnoteRef/>
      </w:r>
      <w:r w:rsidR="00D1280C" w:rsidRPr="00D1280C">
        <w:rPr>
          <w:sz w:val="24"/>
          <w:lang w:val="it-IT"/>
        </w:rPr>
        <w:t xml:space="preserve"> </w:t>
      </w:r>
      <w:r w:rsidR="00D1280C" w:rsidRPr="00D1280C">
        <w:rPr>
          <w:sz w:val="24"/>
          <w:lang w:val="it-IT"/>
        </w:rPr>
        <w:tab/>
      </w:r>
      <w:r w:rsidRPr="00D1280C">
        <w:rPr>
          <w:sz w:val="24"/>
          <w:lang w:val="it-IT"/>
        </w:rPr>
        <w:t>GU L 424 del 15.12.2020, pag.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28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IT"/>
    <w:docVar w:name="dvnumam" w:val="0"/>
    <w:docVar w:name="dvpe" w:val="763.033"/>
    <w:docVar w:name="dvrapporteur" w:val="Relatore: "/>
    <w:docVar w:name="dvtitre" w:val="Risoluzione legislativa del Parlamento europeo del 21 ottobre 2024 concernente la posizione del Consiglio sul progetto di bilancio rettificativo n. 2/2024 dell'Unione europea per l'esercizio 2024: iscrizione dell'eccedenza dell'esercizio 2023(12081/2024 – C10-0107/2024 – 2024/0089(BUD))"/>
  </w:docVars>
  <w:rsids>
    <w:rsidRoot w:val="005218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E5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853"/>
    <w:rsid w:val="00545827"/>
    <w:rsid w:val="00560270"/>
    <w:rsid w:val="005C2568"/>
    <w:rsid w:val="005E7505"/>
    <w:rsid w:val="005F1B17"/>
    <w:rsid w:val="006037C0"/>
    <w:rsid w:val="006631B6"/>
    <w:rsid w:val="00680577"/>
    <w:rsid w:val="006A716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E9E"/>
    <w:rsid w:val="00B54FD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80C"/>
    <w:rsid w:val="00D56C11"/>
    <w:rsid w:val="00D834A0"/>
    <w:rsid w:val="00D872DF"/>
    <w:rsid w:val="00D91E21"/>
    <w:rsid w:val="00DA7FCD"/>
    <w:rsid w:val="00DC7A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56C0D"/>
  <w15:chartTrackingRefBased/>
  <w15:docId w15:val="{1AEF3688-FA23-49C1-89EA-07D41CC2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E75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E7505"/>
    <w:pPr>
      <w:spacing w:before="480" w:after="240"/>
    </w:pPr>
  </w:style>
  <w:style w:type="paragraph" w:customStyle="1" w:styleId="PageHeading">
    <w:name w:val="PageHeading"/>
    <w:basedOn w:val="Normal"/>
    <w:rsid w:val="005E75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5E750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E75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7505"/>
    <w:rPr>
      <w:sz w:val="24"/>
      <w:lang w:val="it-IT"/>
    </w:rPr>
  </w:style>
  <w:style w:type="paragraph" w:customStyle="1" w:styleId="EPFooter">
    <w:name w:val="EPFooter"/>
    <w:basedOn w:val="Normal"/>
    <w:rsid w:val="005E75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5E7505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5E7505"/>
    <w:pPr>
      <w:spacing w:after="240"/>
    </w:pPr>
  </w:style>
  <w:style w:type="paragraph" w:customStyle="1" w:styleId="RollCallVotes">
    <w:name w:val="RollCallVotes"/>
    <w:basedOn w:val="Normal"/>
    <w:rsid w:val="005E750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E750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E750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E750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5E7505"/>
    <w:pPr>
      <w:spacing w:after="480"/>
    </w:pPr>
  </w:style>
  <w:style w:type="paragraph" w:customStyle="1" w:styleId="NormalBoldCenter">
    <w:name w:val="NormalBoldCenter"/>
    <w:basedOn w:val="Normal"/>
    <w:rsid w:val="005E7505"/>
    <w:pPr>
      <w:jc w:val="center"/>
    </w:pPr>
    <w:rPr>
      <w:b/>
    </w:rPr>
  </w:style>
  <w:style w:type="paragraph" w:customStyle="1" w:styleId="Footprint12b">
    <w:name w:val="Footprint12b"/>
    <w:basedOn w:val="Normal"/>
    <w:rsid w:val="005E750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E7505"/>
    <w:rPr>
      <w:szCs w:val="24"/>
    </w:rPr>
  </w:style>
  <w:style w:type="paragraph" w:styleId="BalloonText">
    <w:name w:val="Balloon Text"/>
    <w:basedOn w:val="Normal"/>
    <w:link w:val="BalloonTextChar"/>
    <w:rsid w:val="00284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4E59"/>
    <w:rPr>
      <w:rFonts w:ascii="Segoe UI" w:hAnsi="Segoe UI" w:cs="Segoe UI"/>
      <w:sz w:val="18"/>
      <w:szCs w:val="18"/>
      <w:lang w:val="it-IT"/>
    </w:rPr>
  </w:style>
  <w:style w:type="character" w:styleId="FollowedHyperlink">
    <w:name w:val="FollowedHyperlink"/>
    <w:basedOn w:val="DefaultParagraphFont"/>
    <w:rsid w:val="00B54F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6B195-028C-42F6-B709-25034544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1044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RELEC 18/10</dc:creator>
  <cp:keywords/>
  <cp:lastModifiedBy>DAFFARA Paolo </cp:lastModifiedBy>
  <cp:revision>2</cp:revision>
  <cp:lastPrinted>2004-11-19T15:42:00Z</cp:lastPrinted>
  <dcterms:created xsi:type="dcterms:W3CDTF">2024-10-22T12:20:00Z</dcterms:created>
  <dcterms:modified xsi:type="dcterms:W3CDTF">2024-10-22T12:20:00Z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A10-0005/2024</vt:lpwstr>
  </property>
  <property fmtid="{D5CDD505-2E9C-101B-9397-08002B2CF9AE}" pid="4" name="&lt;Type&gt;">
    <vt:lpwstr>RR</vt:lpwstr>
  </property>
</Properties>
</file>