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4B4A" w:rsidTr="0010095E">
        <w:trPr>
          <w:trHeight w:hRule="exact" w:val="1418"/>
        </w:trPr>
        <w:tc>
          <w:tcPr>
            <w:tcW w:w="6804" w:type="dxa"/>
            <w:shd w:val="clear" w:color="auto" w:fill="auto"/>
            <w:vAlign w:val="center"/>
          </w:tcPr>
          <w:p w:rsidR="00751A4A" w:rsidRPr="002C4B4A" w:rsidRDefault="00E66B65" w:rsidP="0010095E">
            <w:pPr>
              <w:pStyle w:val="EPName"/>
            </w:pPr>
            <w:r w:rsidRPr="002C4B4A">
              <w:t>Europos Parlamentas</w:t>
            </w:r>
          </w:p>
          <w:p w:rsidR="00751A4A" w:rsidRPr="002C4B4A" w:rsidRDefault="005F1B17" w:rsidP="005F1B17">
            <w:pPr>
              <w:pStyle w:val="EPTerm"/>
              <w:rPr>
                <w:rStyle w:val="HideTWBExt"/>
                <w:noProof w:val="0"/>
                <w:vanish w:val="0"/>
                <w:color w:val="auto"/>
              </w:rPr>
            </w:pPr>
            <w:r w:rsidRPr="002C4B4A">
              <w:t>2024</w:t>
            </w:r>
            <w:r w:rsidR="00817416" w:rsidRPr="002C4B4A">
              <w:t>-202</w:t>
            </w:r>
            <w:r w:rsidRPr="002C4B4A">
              <w:t>9</w:t>
            </w:r>
          </w:p>
        </w:tc>
        <w:tc>
          <w:tcPr>
            <w:tcW w:w="2268" w:type="dxa"/>
            <w:shd w:val="clear" w:color="auto" w:fill="auto"/>
          </w:tcPr>
          <w:p w:rsidR="00751A4A" w:rsidRPr="002C4B4A" w:rsidRDefault="00187494" w:rsidP="0010095E">
            <w:pPr>
              <w:pStyle w:val="EPLogo"/>
            </w:pPr>
            <w:r w:rsidRPr="002C4B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4B4A" w:rsidRDefault="00D058B8" w:rsidP="004C5D52">
      <w:pPr>
        <w:pStyle w:val="LineTop"/>
      </w:pPr>
    </w:p>
    <w:p w:rsidR="00680577" w:rsidRPr="002C4B4A" w:rsidRDefault="00E66B65" w:rsidP="00680577">
      <w:pPr>
        <w:pStyle w:val="EPBodyTA1"/>
      </w:pPr>
      <w:r w:rsidRPr="002C4B4A">
        <w:t>PRIIMTI TEKSTAI</w:t>
      </w:r>
    </w:p>
    <w:p w:rsidR="00D058B8" w:rsidRPr="002C4B4A" w:rsidRDefault="00D058B8" w:rsidP="00D058B8">
      <w:pPr>
        <w:pStyle w:val="LineBottom"/>
      </w:pPr>
    </w:p>
    <w:p w:rsidR="00E66B65" w:rsidRPr="002C4B4A" w:rsidRDefault="00E66B65" w:rsidP="00E66B65">
      <w:pPr>
        <w:pStyle w:val="ATHeading1"/>
      </w:pPr>
      <w:bookmarkStart w:id="0" w:name="TANumber"/>
      <w:r w:rsidRPr="002C4B4A">
        <w:t>P10_TA(2024)00</w:t>
      </w:r>
      <w:r w:rsidR="00F232E6">
        <w:t>23</w:t>
      </w:r>
      <w:bookmarkStart w:id="1" w:name="_GoBack"/>
      <w:bookmarkEnd w:id="0"/>
      <w:bookmarkEnd w:id="1"/>
    </w:p>
    <w:p w:rsidR="00E66B65" w:rsidRPr="002C4B4A" w:rsidRDefault="00E66B65" w:rsidP="00E66B65">
      <w:pPr>
        <w:pStyle w:val="ATHeading2"/>
      </w:pPr>
      <w:bookmarkStart w:id="2" w:name="title"/>
      <w:r w:rsidRPr="002C4B4A">
        <w:t>Taisomojo biudžeto Nr. 2/2024 projektas: 2023 finansinių metų pertekliaus įrašymas į biudžetą</w:t>
      </w:r>
      <w:bookmarkEnd w:id="2"/>
    </w:p>
    <w:p w:rsidR="00E66B65" w:rsidRPr="002C4B4A" w:rsidRDefault="00E66B65" w:rsidP="00E66B65">
      <w:pPr>
        <w:rPr>
          <w:i/>
          <w:vanish/>
        </w:rPr>
      </w:pPr>
      <w:r w:rsidRPr="002C4B4A">
        <w:rPr>
          <w:i/>
        </w:rPr>
        <w:fldChar w:fldCharType="begin"/>
      </w:r>
      <w:r w:rsidRPr="002C4B4A">
        <w:rPr>
          <w:i/>
        </w:rPr>
        <w:instrText xml:space="preserve"> TC"(</w:instrText>
      </w:r>
      <w:bookmarkStart w:id="3" w:name="DocNumber"/>
      <w:r w:rsidRPr="002C4B4A">
        <w:rPr>
          <w:i/>
        </w:rPr>
        <w:instrText>A10-0005/2024</w:instrText>
      </w:r>
      <w:bookmarkEnd w:id="3"/>
      <w:r w:rsidRPr="002C4B4A">
        <w:rPr>
          <w:i/>
        </w:rPr>
        <w:instrText xml:space="preserve"> - Pranešėjas: Siegfried Mureşan)"\l3 \n&gt; \* MERGEFORMAT </w:instrText>
      </w:r>
      <w:r w:rsidRPr="002C4B4A">
        <w:rPr>
          <w:i/>
        </w:rPr>
        <w:fldChar w:fldCharType="end"/>
      </w:r>
    </w:p>
    <w:p w:rsidR="00E66B65" w:rsidRPr="002C4B4A" w:rsidRDefault="00E66B65" w:rsidP="00E66B65">
      <w:pPr>
        <w:rPr>
          <w:vanish/>
        </w:rPr>
      </w:pPr>
      <w:bookmarkStart w:id="4" w:name="Commission"/>
      <w:r w:rsidRPr="002C4B4A">
        <w:rPr>
          <w:vanish/>
        </w:rPr>
        <w:t>Biudžeto komitetas</w:t>
      </w:r>
      <w:bookmarkEnd w:id="4"/>
    </w:p>
    <w:p w:rsidR="00E66B65" w:rsidRPr="002C4B4A" w:rsidRDefault="00E66B65" w:rsidP="00E66B65">
      <w:pPr>
        <w:rPr>
          <w:vanish/>
        </w:rPr>
      </w:pPr>
      <w:bookmarkStart w:id="5" w:name="PE"/>
      <w:r w:rsidRPr="002C4B4A">
        <w:rPr>
          <w:vanish/>
        </w:rPr>
        <w:t>PE763.033</w:t>
      </w:r>
      <w:bookmarkEnd w:id="5"/>
    </w:p>
    <w:p w:rsidR="00E66B65" w:rsidRPr="002C4B4A" w:rsidRDefault="00E66B65" w:rsidP="00816A50">
      <w:pPr>
        <w:pStyle w:val="ATHeading3"/>
      </w:pPr>
      <w:bookmarkStart w:id="6" w:name="Sujet"/>
      <w:r w:rsidRPr="002C4B4A">
        <w:t xml:space="preserve">2024 m. spalio </w:t>
      </w:r>
      <w:r w:rsidR="00816A50">
        <w:t>22</w:t>
      </w:r>
      <w:r w:rsidRPr="002C4B4A">
        <w:t xml:space="preserve"> d. Europos Parlamento rezoliucija dėl Tarybos pozicijos dėl 2024 finansinių metų Europos Sąjungos taisomojo biudžeto Nr. 2/2024 projekto – 2023 finansinių metų pertekliaus įrašymas į biudžetą</w:t>
      </w:r>
      <w:bookmarkEnd w:id="6"/>
      <w:r w:rsidRPr="002C4B4A">
        <w:t xml:space="preserve"> </w:t>
      </w:r>
      <w:bookmarkStart w:id="7" w:name="References"/>
      <w:r w:rsidRPr="002C4B4A">
        <w:t>(12081/2024 – C10-0107/2024 – 2024/0089(BUD))</w:t>
      </w:r>
      <w:bookmarkEnd w:id="7"/>
    </w:p>
    <w:p w:rsidR="00BC3EA6" w:rsidRPr="002C4B4A" w:rsidRDefault="00BC3EA6" w:rsidP="00BC3EA6">
      <w:pPr>
        <w:pStyle w:val="EPComma"/>
      </w:pPr>
      <w:bookmarkStart w:id="8" w:name="TextBodyBegin"/>
      <w:bookmarkEnd w:id="8"/>
      <w:r w:rsidRPr="002C4B4A">
        <w:rPr>
          <w:i/>
        </w:rPr>
        <w:t>Europos Parlamentas</w:t>
      </w:r>
      <w:r w:rsidRPr="002C4B4A">
        <w:t>,</w:t>
      </w:r>
    </w:p>
    <w:p w:rsidR="00BC3EA6" w:rsidRPr="002C4B4A" w:rsidRDefault="00BC3EA6" w:rsidP="00BC3EA6">
      <w:pPr>
        <w:pStyle w:val="NormalHanging12a"/>
      </w:pPr>
      <w:r w:rsidRPr="002C4B4A">
        <w:t>–</w:t>
      </w:r>
      <w:r w:rsidRPr="002C4B4A">
        <w:tab/>
        <w:t>atsižvelgdamas į Sutarties dėl Europos Sąjungos veikimo 314 straipsnį,</w:t>
      </w:r>
    </w:p>
    <w:p w:rsidR="00BC3EA6" w:rsidRPr="002C4B4A" w:rsidRDefault="00BC3EA6" w:rsidP="00BC3EA6">
      <w:pPr>
        <w:pStyle w:val="NormalHanging12a"/>
      </w:pPr>
      <w:r w:rsidRPr="002C4B4A">
        <w:t>–</w:t>
      </w:r>
      <w:r w:rsidRPr="002C4B4A">
        <w:tab/>
        <w:t>atsižvelgdamas į Europos atominės energijos bendrijos steigimo sutarties 106a straipsnį,</w:t>
      </w:r>
    </w:p>
    <w:p w:rsidR="00BC3EA6" w:rsidRDefault="00BC3EA6" w:rsidP="00BC3EA6">
      <w:pPr>
        <w:pStyle w:val="NormalHanging12a"/>
      </w:pPr>
      <w:r w:rsidRPr="002C4B4A">
        <w:t>–</w:t>
      </w:r>
      <w:r w:rsidRPr="002C4B4A">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2C4B4A">
        <w:rPr>
          <w:rStyle w:val="FootnoteReference"/>
        </w:rPr>
        <w:footnoteReference w:id="1"/>
      </w:r>
      <w:r w:rsidRPr="002C4B4A">
        <w:t>, ypač į jo 44 straipsnį,</w:t>
      </w:r>
    </w:p>
    <w:p w:rsidR="00816A50" w:rsidRPr="002C4B4A" w:rsidRDefault="00816A50" w:rsidP="00BC3EA6">
      <w:pPr>
        <w:pStyle w:val="NormalHanging12a"/>
      </w:pPr>
      <w:r w:rsidRPr="002C4B4A">
        <w:t>–</w:t>
      </w:r>
      <w:r w:rsidRPr="002C4B4A">
        <w:tab/>
      </w:r>
      <w:r w:rsidR="00417562" w:rsidRPr="00417562">
        <w:t>atsižvelgdamas į 2024 m. rugsėjo 23 d. Europos Parlamento ir Tarybos reglamentą (ES, Euratomas) 2024/2509 dėl Sąjungos bendrajam biudžetui taikomų finansinių taisyklių</w:t>
      </w:r>
      <w:r w:rsidR="00417562" w:rsidRPr="00F63F28">
        <w:rPr>
          <w:rStyle w:val="FootnoteReference"/>
        </w:rPr>
        <w:footnoteReference w:id="2"/>
      </w:r>
      <w:r w:rsidR="00417562" w:rsidRPr="00417562">
        <w:t>, ypač į jo 44 straipsnį,</w:t>
      </w:r>
    </w:p>
    <w:p w:rsidR="00BC3EA6" w:rsidRPr="002C4B4A" w:rsidRDefault="00BC3EA6" w:rsidP="00BC3EA6">
      <w:pPr>
        <w:pStyle w:val="NormalHanging12a"/>
      </w:pPr>
      <w:r w:rsidRPr="002C4B4A">
        <w:t>–</w:t>
      </w:r>
      <w:r w:rsidRPr="002C4B4A">
        <w:tab/>
        <w:t>atsižvelgdamas į Europos Sąjungos 2024 finansinių metų bendrąjį biudžetą, galutinai priimtą 2023 m. lapkričio 22 d.</w:t>
      </w:r>
      <w:r w:rsidRPr="002C4B4A">
        <w:rPr>
          <w:rStyle w:val="FootnoteReference"/>
        </w:rPr>
        <w:footnoteReference w:id="3"/>
      </w:r>
      <w:r w:rsidRPr="002C4B4A">
        <w:t>,</w:t>
      </w:r>
    </w:p>
    <w:p w:rsidR="00BC3EA6" w:rsidRPr="002C4B4A" w:rsidRDefault="00BC3EA6" w:rsidP="00BC3EA6">
      <w:pPr>
        <w:pStyle w:val="NormalHanging12a"/>
      </w:pPr>
      <w:r w:rsidRPr="002C4B4A">
        <w:t>–</w:t>
      </w:r>
      <w:r w:rsidRPr="002C4B4A">
        <w:tab/>
        <w:t>atsižvelgdamas į 2020 m. gruodžio 17 d. Tarybos reglamentą (ES, Euratomas) 2020/2093, kuriuo nustatoma 2021–2027 m. daugiametė finansinė programa</w:t>
      </w:r>
      <w:r w:rsidRPr="002C4B4A">
        <w:rPr>
          <w:rStyle w:val="FootnoteReference"/>
        </w:rPr>
        <w:footnoteReference w:id="4"/>
      </w:r>
      <w:r w:rsidRPr="002C4B4A">
        <w:t>,</w:t>
      </w:r>
    </w:p>
    <w:p w:rsidR="00BC3EA6" w:rsidRPr="002C4B4A" w:rsidRDefault="00BC3EA6" w:rsidP="00BC3EA6">
      <w:pPr>
        <w:pStyle w:val="NormalHanging12a"/>
      </w:pPr>
      <w:r w:rsidRPr="002C4B4A">
        <w:t>–</w:t>
      </w:r>
      <w:r w:rsidRPr="002C4B4A">
        <w:tab/>
        <w:t xml:space="preserve">atsižvelgdamas į 2020 m. gruodžio 16 d. Europos Parlamento, Europos Sąjungos </w:t>
      </w:r>
      <w:r w:rsidRPr="002C4B4A">
        <w:lastRenderedPageBreak/>
        <w:t>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2C4B4A">
        <w:rPr>
          <w:rStyle w:val="FootnoteReference"/>
        </w:rPr>
        <w:footnoteReference w:id="5"/>
      </w:r>
      <w:r w:rsidRPr="002C4B4A">
        <w:t>,</w:t>
      </w:r>
    </w:p>
    <w:p w:rsidR="00BC3EA6" w:rsidRPr="002C4B4A" w:rsidRDefault="00BC3EA6" w:rsidP="00BC3EA6">
      <w:pPr>
        <w:pStyle w:val="NormalHanging12a"/>
      </w:pPr>
      <w:r w:rsidRPr="002C4B4A">
        <w:t>–</w:t>
      </w:r>
      <w:r w:rsidRPr="002C4B4A">
        <w:tab/>
        <w:t>atsižvelgdamas į 2020 m. gruodžio 14 d. Tarybos sprendimą (ES, Euratomas) 2020/2053 dėl Europos Sąjungos nuosavų išteklių sistemos, kuriuo panaikinamas Sprendimas 2014/335/ES, Euratomas</w:t>
      </w:r>
      <w:r w:rsidRPr="002C4B4A">
        <w:rPr>
          <w:rStyle w:val="FootnoteReference"/>
        </w:rPr>
        <w:footnoteReference w:id="6"/>
      </w:r>
      <w:r w:rsidRPr="002C4B4A">
        <w:t>,</w:t>
      </w:r>
    </w:p>
    <w:p w:rsidR="00BC3EA6" w:rsidRPr="002C4B4A" w:rsidRDefault="00BC3EA6" w:rsidP="00BC3EA6">
      <w:pPr>
        <w:pStyle w:val="NormalHanging12a"/>
      </w:pPr>
      <w:r w:rsidRPr="002C4B4A">
        <w:t>–</w:t>
      </w:r>
      <w:r w:rsidRPr="002C4B4A">
        <w:tab/>
        <w:t>atsižvelgdamas į Taisomojo biudžeto Nr. 2/2024 projektą, kurį Komisija priėmė 2024 m. balandžio 9 d. (COM(2024)0920),</w:t>
      </w:r>
    </w:p>
    <w:p w:rsidR="00BC3EA6" w:rsidRPr="002C4B4A" w:rsidRDefault="00BC3EA6" w:rsidP="00BC3EA6">
      <w:pPr>
        <w:pStyle w:val="NormalHanging12a"/>
      </w:pPr>
      <w:r w:rsidRPr="002C4B4A">
        <w:t>–</w:t>
      </w:r>
      <w:r w:rsidRPr="002C4B4A">
        <w:tab/>
        <w:t>atsižvelgdamas į 2024 m. rugsėjo 13 d. priimtą ir 2024 m. rugsėjo 16 d. Europos Parlamentui perduotą Tarybos poziciją dėl Taisomojo biudžeto Nr. 2/2024 projekto (12081/2024 – C10</w:t>
      </w:r>
      <w:r w:rsidRPr="002C4B4A">
        <w:noBreakHyphen/>
        <w:t>0107/2024),</w:t>
      </w:r>
    </w:p>
    <w:p w:rsidR="00BC3EA6" w:rsidRPr="002C4B4A" w:rsidRDefault="00BC3EA6" w:rsidP="00BC3EA6">
      <w:pPr>
        <w:pStyle w:val="NormalHanging12a"/>
      </w:pPr>
      <w:r w:rsidRPr="002C4B4A">
        <w:t>–</w:t>
      </w:r>
      <w:r w:rsidRPr="002C4B4A">
        <w:tab/>
        <w:t xml:space="preserve">atsižvelgdamas į Darbo tvarkos taisyklių 96 ir 98 straipsnius, </w:t>
      </w:r>
    </w:p>
    <w:p w:rsidR="00BC3EA6" w:rsidRPr="002C4B4A" w:rsidRDefault="00BC3EA6" w:rsidP="00BC3EA6">
      <w:pPr>
        <w:pStyle w:val="NormalHanging12a"/>
      </w:pPr>
      <w:r w:rsidRPr="002C4B4A">
        <w:t>–</w:t>
      </w:r>
      <w:r w:rsidRPr="002C4B4A">
        <w:tab/>
        <w:t>atsižvelgdamas į Biudžeto komiteto pranešimą (A10-0005/2024),</w:t>
      </w:r>
    </w:p>
    <w:p w:rsidR="00BC3EA6" w:rsidRPr="002C4B4A" w:rsidRDefault="00BC3EA6" w:rsidP="00BC3EA6">
      <w:pPr>
        <w:pStyle w:val="NormalHanging12a"/>
      </w:pPr>
      <w:r w:rsidRPr="002C4B4A">
        <w:t>A.</w:t>
      </w:r>
      <w:r w:rsidRPr="002C4B4A">
        <w:tab/>
        <w:t>kadangi Taisomojo biudžeto Nr. 2/2024 projektas parengtas tam, kad 2023 finansinių metų biudžeto perteklius (jis siekia 633 mln. EUR) būtų įrašytas į 2024 m. biudžetą;</w:t>
      </w:r>
    </w:p>
    <w:p w:rsidR="00BC3EA6" w:rsidRPr="002C4B4A" w:rsidRDefault="00BC3EA6" w:rsidP="00BC3EA6">
      <w:pPr>
        <w:pStyle w:val="NormalHanging12a"/>
      </w:pPr>
      <w:r w:rsidRPr="002C4B4A">
        <w:t>B.</w:t>
      </w:r>
      <w:r w:rsidRPr="002C4B4A">
        <w:tab/>
        <w:t>kadangi pagrindiniai šio pertekliaus komponentai yra teigiamas rezultatas pajamų dalyje (238,7 mln. EUR) ir nepanaudota 393,9 mln. EUR suma;</w:t>
      </w:r>
    </w:p>
    <w:p w:rsidR="00BC3EA6" w:rsidRPr="002C4B4A" w:rsidRDefault="00BC3EA6" w:rsidP="00BC3EA6">
      <w:pPr>
        <w:pStyle w:val="NormalHanging12a"/>
      </w:pPr>
      <w:r w:rsidRPr="002C4B4A">
        <w:t>C.</w:t>
      </w:r>
      <w:r w:rsidRPr="002C4B4A">
        <w:tab/>
        <w:t>kadangi pajamų dalyje 1 766 mln. EUR pertekliaus sumą visų pirma sudaro finansinės pajamos, delspinigiai ir baudos, o iš muitų mokesčių surinkta suma buvo 1 649 mln. EUR mažesnė už numatytą sumą; kadangi 107 mln. EUR administracinių pajamų perteklius daugiausia susidarė dėl didesnio nei prognozuota pensijų įmokų tarifo ir dėl to, kad 2023 m. sausio mėn. atlikus tarpinį atlyginimų padidinimą padidėjo mokesčių ir rinkliavų bei pensijų įmokų lygis;</w:t>
      </w:r>
    </w:p>
    <w:p w:rsidR="00BC3EA6" w:rsidRPr="002C4B4A" w:rsidRDefault="00BC3EA6" w:rsidP="00BC3EA6">
      <w:pPr>
        <w:pStyle w:val="NormalHanging12a"/>
      </w:pPr>
      <w:r w:rsidRPr="002C4B4A">
        <w:t>D.</w:t>
      </w:r>
      <w:r w:rsidRPr="002C4B4A">
        <w:tab/>
        <w:t>kadangi, kalbant apie išlaidas, Komisijos nepanaudoti mokėjimai iš viso sudarė 70 mln. EUR (0,1 proc. patvirtintų mokėjimų asignavimų); kadangi kitos institucijos anuliavo 48 mln. EUR mokėjimų, atitinkamai išlaikydamos žemą nevisiško 2022 m. biudžeto įvykdymo lygį;</w:t>
      </w:r>
    </w:p>
    <w:p w:rsidR="00BC3EA6" w:rsidRPr="002C4B4A" w:rsidRDefault="00BC3EA6" w:rsidP="00F232E6">
      <w:pPr>
        <w:pStyle w:val="NormalHanging12a"/>
      </w:pPr>
      <w:r w:rsidRPr="002C4B4A">
        <w:t>E.</w:t>
      </w:r>
      <w:r w:rsidRPr="002C4B4A">
        <w:tab/>
        <w:t>kadangi pagal Taisomojo biudžeto Nr. 2/2024 projektą Vokietijai, Nyderlandams, Danijai, Švedijai ir Austrijai taikomas metinis BNP pagrįstų įnašų bendras sumažinimas sudaro apie 5,4 mlrd. EUR grynąja verte;</w:t>
      </w:r>
    </w:p>
    <w:p w:rsidR="00BC3EA6" w:rsidRPr="002C4B4A" w:rsidRDefault="00BC3EA6" w:rsidP="00F232E6">
      <w:pPr>
        <w:pStyle w:val="NormalHanging12a"/>
        <w:rPr>
          <w:szCs w:val="24"/>
        </w:rPr>
      </w:pPr>
      <w:r w:rsidRPr="002C4B4A">
        <w:t>F.</w:t>
      </w:r>
      <w:r w:rsidRPr="002C4B4A">
        <w:tab/>
        <w:t>kadangi Sąjungos biudžeto maržos ir lankstumas tebėra labai riboti, nepaisant to, kad buvo atlikta daugiametės finansinės programos (DFP) peržiūra ir nustatyta nauja priemonė EURI, siekiant garantuoti padidėjusias skolinimosi išlaidas pagal Europos Sąjungos ekonomikos gaivinimo priemonę, o jos dėl savo pobūdžio yra kintamos ir tai biudžetui sukelia netikrumo; kadangi šiomis sudėtingomis aplinkybėmis biudžeto poreikiai didėja;</w:t>
      </w:r>
    </w:p>
    <w:p w:rsidR="00BC3EA6" w:rsidRPr="002C4B4A" w:rsidRDefault="00BC3EA6" w:rsidP="00BC3EA6">
      <w:pPr>
        <w:pStyle w:val="NormalHanging12a"/>
      </w:pPr>
      <w:r w:rsidRPr="002C4B4A">
        <w:lastRenderedPageBreak/>
        <w:t>1.</w:t>
      </w:r>
      <w:r w:rsidRPr="002C4B4A">
        <w:tab/>
        <w:t>atkreipia dėmesį į Komisijos pateiktą Taisomojo biudžeto Nr. 2/2024 projektą, kuris skirtas tam, kad, vadovaujantis Finansinio reglamento 18 straipsnio 3 dalimi, į biudžetą būtų įtrauktas 2023 m. susidaręs 633 mln. EUR perteklius;</w:t>
      </w:r>
    </w:p>
    <w:p w:rsidR="00BC3EA6" w:rsidRPr="002C4B4A" w:rsidRDefault="00BC3EA6" w:rsidP="00BC3EA6">
      <w:pPr>
        <w:pStyle w:val="NormalHanging12a"/>
      </w:pPr>
      <w:r w:rsidRPr="002C4B4A">
        <w:t>2.</w:t>
      </w:r>
      <w:r w:rsidRPr="002C4B4A">
        <w:tab/>
        <w:t xml:space="preserve">palankiai vertina tai, kad 2023 m. perteklius yra gerokai mažesnis už 2022 m. perteklių, ir tai rodo, kad Komisija geriau prognozuoja ir valdo biudžetą; </w:t>
      </w:r>
    </w:p>
    <w:p w:rsidR="00BC3EA6" w:rsidRPr="002C4B4A" w:rsidRDefault="00BC3EA6" w:rsidP="00BC3EA6">
      <w:pPr>
        <w:pStyle w:val="NormalHanging12a"/>
      </w:pPr>
      <w:r w:rsidRPr="002C4B4A">
        <w:t>3.</w:t>
      </w:r>
      <w:r w:rsidRPr="002C4B4A">
        <w:tab/>
        <w:t>pabrėžia, kad esant pertekliui mažėja valstybių narių įnašai į 2024 m. biudžeto finansavimą tuo metu, kai finansavimo poreikiai tebėra dideli, o erdvės Sąjungos biudžete yra labai mažai; pabrėžia, kad biudžetas turi išlikti pakankamai lankstus, kad Sąjunga galėtų reaguoti nenumatytus įvykius ir naujai atsiradusius prioritetus;</w:t>
      </w:r>
    </w:p>
    <w:p w:rsidR="00BC3EA6" w:rsidRPr="002C4B4A" w:rsidRDefault="00BC3EA6" w:rsidP="00BC3EA6">
      <w:pPr>
        <w:pStyle w:val="NormalHanging12a"/>
      </w:pPr>
      <w:r w:rsidRPr="002C4B4A">
        <w:t>4.</w:t>
      </w:r>
      <w:r w:rsidRPr="002C4B4A">
        <w:tab/>
        <w:t>primena savo ilgalaikę poziciją, kad baudos ir mokesčiai turėtų būti naudojami kaip papildomos Sąjungos biudžeto pajamos ir dėl jų neturėtų atitinkamai būti mažinami BNP pagrįsti įnašai;</w:t>
      </w:r>
    </w:p>
    <w:p w:rsidR="00BC3EA6" w:rsidRPr="002C4B4A" w:rsidRDefault="00BC3EA6" w:rsidP="00BC3EA6">
      <w:pPr>
        <w:widowControl/>
        <w:spacing w:before="120" w:after="120"/>
        <w:ind w:left="567" w:hanging="567"/>
      </w:pPr>
      <w:r w:rsidRPr="002C4B4A">
        <w:t>5.</w:t>
      </w:r>
      <w:r w:rsidRPr="002C4B4A">
        <w:tab/>
        <w:t>atkreipia dėmesį į apskaičiuotą pakoreguotą penkioms valstybėms narėms taikomą BNP pagrįstų įnašų bendrą sumažinimą, kuris sudaro apie 5,4 mlrd. EUR grynąja verte; atkreipia dėmesį į tai, kad šis sumažinimas yra susijęs su infliacija ir todėl didėjo greičiau nei DFP viršutinės ribos, o jos kasmet koreguojamos remiantis 2 proc. defliatoriumi; pabrėžia, kad dėl šio neatitikimo kitoms valstybėms narėms tenka didesnė našta;</w:t>
      </w:r>
    </w:p>
    <w:p w:rsidR="00BC3EA6" w:rsidRPr="002C4B4A" w:rsidRDefault="00BC3EA6" w:rsidP="00BC3EA6">
      <w:pPr>
        <w:pStyle w:val="NormalHanging12a"/>
        <w:rPr>
          <w:szCs w:val="24"/>
        </w:rPr>
      </w:pPr>
      <w:r w:rsidRPr="002C4B4A">
        <w:t>6.</w:t>
      </w:r>
      <w:r w:rsidRPr="002C4B4A">
        <w:tab/>
        <w:t>pabrėžia, kad reikia tvarių Sąjungos biudžeto pajamų; todėl apgailestauja, kad Taryboje nepadaryta pažangos dėl nuosavų išteklių sistemos reformos pagal Tarpinstituciniame susitarime pateiktas veiksmų gaires;</w:t>
      </w:r>
      <w:r w:rsidRPr="002C4B4A">
        <w:rPr>
          <w:color w:val="1E1E1F"/>
          <w:shd w:val="clear" w:color="auto" w:fill="FFFFFF"/>
        </w:rPr>
        <w:t xml:space="preserve"> </w:t>
      </w:r>
      <w:r w:rsidRPr="002C4B4A">
        <w:t>primena savo poziciją, kuria remiami iš dalies pakeisti Komisijos pasiūlymai, ir primygtinai ragina Tarybą skubiai priimti šiuos pasiūlymus, kad būtų padidinti Sąjungos biudžeto nuosavi ištekliai;</w:t>
      </w:r>
    </w:p>
    <w:p w:rsidR="00BC3EA6" w:rsidRPr="002C4B4A" w:rsidRDefault="00BC3EA6" w:rsidP="00BC3EA6">
      <w:pPr>
        <w:pStyle w:val="NormalHanging12a"/>
      </w:pPr>
      <w:r w:rsidRPr="002C4B4A">
        <w:t>7.</w:t>
      </w:r>
      <w:r w:rsidRPr="002C4B4A">
        <w:tab/>
        <w:t>pritaria Tarybos pozicijai dėl Taisomojo biudžeto Nr. 2/2024 projekto;</w:t>
      </w:r>
    </w:p>
    <w:p w:rsidR="00BC3EA6" w:rsidRPr="002C4B4A" w:rsidRDefault="00BC3EA6" w:rsidP="00BC3EA6">
      <w:pPr>
        <w:pStyle w:val="NormalHanging12a"/>
      </w:pPr>
      <w:r w:rsidRPr="002C4B4A">
        <w:t>8.</w:t>
      </w:r>
      <w:r w:rsidRPr="002C4B4A">
        <w:tab/>
        <w:t>paveda Pirmininkei paskelbti, kad Taisomasis biudžetas Nr. </w:t>
      </w:r>
      <w:r w:rsidR="00417562">
        <w:t>3</w:t>
      </w:r>
      <w:r w:rsidRPr="002C4B4A">
        <w:t xml:space="preserve">/2024 yra galutinai priimtas, ir pasirūpinti, kad jis būtų paskelbtas </w:t>
      </w:r>
      <w:r w:rsidRPr="002C4B4A">
        <w:rPr>
          <w:i/>
          <w:iCs/>
        </w:rPr>
        <w:t>Europos Sąjungos oficialiajame leidinyje</w:t>
      </w:r>
      <w:r w:rsidRPr="002C4B4A">
        <w:t>;</w:t>
      </w:r>
    </w:p>
    <w:p w:rsidR="00BC3EA6" w:rsidRPr="002C4B4A" w:rsidRDefault="00BC3EA6" w:rsidP="00BC3EA6">
      <w:pPr>
        <w:pStyle w:val="NormalHanging12a"/>
      </w:pPr>
      <w:r w:rsidRPr="002C4B4A">
        <w:t>9.</w:t>
      </w:r>
      <w:r w:rsidRPr="002C4B4A">
        <w:tab/>
        <w:t>paveda Pirmininkei perduoti šią rezoliuciją Tarybai, Komisijai, kitoms atitinkamoms institucijoms ir organams ir nacionaliniams parlamentams.</w:t>
      </w:r>
    </w:p>
    <w:p w:rsidR="00E365E1" w:rsidRPr="002C4B4A" w:rsidRDefault="00E365E1" w:rsidP="00E66B65">
      <w:bookmarkStart w:id="9" w:name="TextBodyEnd"/>
      <w:bookmarkEnd w:id="9"/>
    </w:p>
    <w:sectPr w:rsidR="00E365E1" w:rsidRPr="002C4B4A" w:rsidSect="002C4B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B65" w:rsidRPr="002C4B4A" w:rsidRDefault="00E66B65">
      <w:r w:rsidRPr="002C4B4A">
        <w:separator/>
      </w:r>
    </w:p>
  </w:endnote>
  <w:endnote w:type="continuationSeparator" w:id="0">
    <w:p w:rsidR="00E66B65" w:rsidRPr="002C4B4A" w:rsidRDefault="00E66B65">
      <w:r w:rsidRPr="002C4B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B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B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B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B65" w:rsidRPr="002C4B4A" w:rsidRDefault="00E66B65">
      <w:r w:rsidRPr="002C4B4A">
        <w:separator/>
      </w:r>
    </w:p>
  </w:footnote>
  <w:footnote w:type="continuationSeparator" w:id="0">
    <w:p w:rsidR="00E66B65" w:rsidRPr="002C4B4A" w:rsidRDefault="00E66B65">
      <w:r w:rsidRPr="002C4B4A">
        <w:continuationSeparator/>
      </w:r>
    </w:p>
  </w:footnote>
  <w:footnote w:id="1">
    <w:p w:rsidR="00BC3EA6" w:rsidRPr="002C4B4A" w:rsidRDefault="00BC3EA6" w:rsidP="002C4B4A">
      <w:pPr>
        <w:pStyle w:val="FootnoteText"/>
        <w:ind w:left="567" w:hanging="567"/>
        <w:rPr>
          <w:sz w:val="24"/>
          <w:lang w:val="lt-LT"/>
        </w:rPr>
      </w:pPr>
      <w:r w:rsidRPr="002C4B4A">
        <w:rPr>
          <w:rStyle w:val="FootnoteReference"/>
          <w:sz w:val="24"/>
          <w:lang w:val="lt-LT"/>
        </w:rPr>
        <w:footnoteRef/>
      </w:r>
      <w:r w:rsidR="002C4B4A" w:rsidRPr="002C4B4A">
        <w:rPr>
          <w:sz w:val="24"/>
          <w:lang w:val="lt-LT"/>
        </w:rPr>
        <w:t xml:space="preserve"> </w:t>
      </w:r>
      <w:r w:rsidR="002C4B4A" w:rsidRPr="002C4B4A">
        <w:rPr>
          <w:sz w:val="24"/>
          <w:lang w:val="lt-LT"/>
        </w:rPr>
        <w:tab/>
      </w:r>
      <w:r w:rsidRPr="002C4B4A">
        <w:rPr>
          <w:sz w:val="24"/>
          <w:lang w:val="lt-LT"/>
        </w:rPr>
        <w:t xml:space="preserve">OL L 193, 2018 7 30, p. 1, ELI: </w:t>
      </w:r>
      <w:hyperlink r:id="rId1" w:history="1">
        <w:r w:rsidRPr="002C4B4A">
          <w:rPr>
            <w:rStyle w:val="Hyperlink"/>
            <w:sz w:val="24"/>
            <w:lang w:val="lt-LT"/>
          </w:rPr>
          <w:t>http://data.europa.eu/eli/reg/2018/1046/oj</w:t>
        </w:r>
      </w:hyperlink>
      <w:r w:rsidRPr="002C4B4A">
        <w:rPr>
          <w:sz w:val="24"/>
          <w:lang w:val="lt-LT"/>
        </w:rPr>
        <w:t>.</w:t>
      </w:r>
    </w:p>
  </w:footnote>
  <w:footnote w:id="2">
    <w:p w:rsidR="00417562" w:rsidRPr="00794057" w:rsidRDefault="00417562" w:rsidP="00F232E6">
      <w:pPr>
        <w:pStyle w:val="FootnoteText"/>
        <w:ind w:left="567" w:hanging="567"/>
        <w:rPr>
          <w:sz w:val="24"/>
          <w:szCs w:val="24"/>
          <w:lang w:val="fi-FI"/>
        </w:rPr>
      </w:pPr>
      <w:r w:rsidRPr="00794057">
        <w:rPr>
          <w:rStyle w:val="FootnoteReference"/>
          <w:sz w:val="24"/>
          <w:szCs w:val="24"/>
        </w:rPr>
        <w:footnoteRef/>
      </w:r>
      <w:r>
        <w:rPr>
          <w:sz w:val="24"/>
          <w:szCs w:val="24"/>
          <w:lang w:val="fi-FI"/>
        </w:rPr>
        <w:t xml:space="preserve"> </w:t>
      </w:r>
      <w:r>
        <w:rPr>
          <w:sz w:val="24"/>
          <w:szCs w:val="24"/>
          <w:lang w:val="fi-FI"/>
        </w:rPr>
        <w:tab/>
      </w:r>
      <w:r w:rsidRPr="00794057">
        <w:rPr>
          <w:sz w:val="24"/>
          <w:szCs w:val="24"/>
          <w:lang w:val="fi-FI"/>
        </w:rPr>
        <w:t>O</w:t>
      </w:r>
      <w:r>
        <w:rPr>
          <w:sz w:val="24"/>
          <w:szCs w:val="24"/>
          <w:lang w:val="fi-FI"/>
        </w:rPr>
        <w:t>L</w:t>
      </w:r>
      <w:r w:rsidRPr="002C4B4A">
        <w:rPr>
          <w:sz w:val="24"/>
          <w:lang w:val="lt-LT"/>
        </w:rPr>
        <w:t> </w:t>
      </w:r>
      <w:r>
        <w:rPr>
          <w:sz w:val="24"/>
          <w:szCs w:val="24"/>
          <w:lang w:val="fi-FI"/>
        </w:rPr>
        <w:t xml:space="preserve">L, 2024/2509, </w:t>
      </w:r>
      <w:r w:rsidRPr="00794057">
        <w:rPr>
          <w:sz w:val="24"/>
          <w:szCs w:val="24"/>
          <w:lang w:val="fi-FI"/>
        </w:rPr>
        <w:t>2024</w:t>
      </w:r>
      <w:r w:rsidRPr="002C4B4A">
        <w:rPr>
          <w:sz w:val="24"/>
          <w:lang w:val="lt-LT"/>
        </w:rPr>
        <w:t> </w:t>
      </w:r>
      <w:r>
        <w:rPr>
          <w:sz w:val="24"/>
          <w:lang w:val="lt-LT"/>
        </w:rPr>
        <w:t>9</w:t>
      </w:r>
      <w:r w:rsidRPr="002C4B4A">
        <w:rPr>
          <w:sz w:val="24"/>
          <w:lang w:val="lt-LT"/>
        </w:rPr>
        <w:t> </w:t>
      </w:r>
      <w:r>
        <w:rPr>
          <w:sz w:val="24"/>
          <w:lang w:val="lt-LT"/>
        </w:rPr>
        <w:t>26</w:t>
      </w:r>
      <w:r w:rsidRPr="00794057">
        <w:rPr>
          <w:sz w:val="24"/>
          <w:szCs w:val="24"/>
          <w:lang w:val="fi-FI"/>
        </w:rPr>
        <w:t xml:space="preserve">, ELI: </w:t>
      </w:r>
      <w:r w:rsidRPr="00794057">
        <w:rPr>
          <w:color w:val="221E1F"/>
          <w:sz w:val="24"/>
          <w:szCs w:val="24"/>
          <w:lang w:val="fi-FI"/>
        </w:rPr>
        <w:t>http://data.europa.eu/eli/reg/2024/2509/oj</w:t>
      </w:r>
      <w:r w:rsidRPr="00794057">
        <w:rPr>
          <w:sz w:val="24"/>
          <w:szCs w:val="24"/>
          <w:lang w:val="fi-FI"/>
        </w:rPr>
        <w:t>.</w:t>
      </w:r>
    </w:p>
  </w:footnote>
  <w:footnote w:id="3">
    <w:p w:rsidR="00BC3EA6" w:rsidRPr="002C4B4A" w:rsidRDefault="00BC3EA6" w:rsidP="002C4B4A">
      <w:pPr>
        <w:pStyle w:val="FootnoteText"/>
        <w:ind w:left="567" w:hanging="567"/>
        <w:rPr>
          <w:sz w:val="24"/>
          <w:lang w:val="lt-LT"/>
        </w:rPr>
      </w:pPr>
      <w:r w:rsidRPr="002C4B4A">
        <w:rPr>
          <w:rStyle w:val="FootnoteReference"/>
          <w:sz w:val="24"/>
          <w:lang w:val="lt-LT"/>
        </w:rPr>
        <w:footnoteRef/>
      </w:r>
      <w:r w:rsidR="002C4B4A" w:rsidRPr="002C4B4A">
        <w:rPr>
          <w:sz w:val="24"/>
          <w:lang w:val="lt-LT"/>
        </w:rPr>
        <w:t xml:space="preserve"> </w:t>
      </w:r>
      <w:r w:rsidR="002C4B4A" w:rsidRPr="002C4B4A">
        <w:rPr>
          <w:sz w:val="24"/>
          <w:lang w:val="lt-LT"/>
        </w:rPr>
        <w:tab/>
      </w:r>
      <w:r w:rsidRPr="002C4B4A">
        <w:rPr>
          <w:sz w:val="24"/>
          <w:lang w:val="lt-LT"/>
        </w:rPr>
        <w:t xml:space="preserve">OL L, 2024/207, 2024 2 22, ELI: </w:t>
      </w:r>
      <w:hyperlink r:id="rId2" w:history="1">
        <w:r w:rsidRPr="002C4B4A">
          <w:rPr>
            <w:rStyle w:val="Hyperlink"/>
            <w:sz w:val="24"/>
            <w:lang w:val="lt-LT"/>
          </w:rPr>
          <w:t>http://data.europa.eu/eli/budget/2024/207/oj</w:t>
        </w:r>
      </w:hyperlink>
      <w:r w:rsidRPr="002C4B4A">
        <w:rPr>
          <w:sz w:val="24"/>
          <w:lang w:val="lt-LT"/>
        </w:rPr>
        <w:t>.</w:t>
      </w:r>
    </w:p>
  </w:footnote>
  <w:footnote w:id="4">
    <w:p w:rsidR="00BC3EA6" w:rsidRPr="002C4B4A" w:rsidRDefault="00BC3EA6" w:rsidP="002C4B4A">
      <w:pPr>
        <w:pStyle w:val="FootnoteText"/>
        <w:ind w:left="567" w:hanging="567"/>
        <w:rPr>
          <w:sz w:val="24"/>
          <w:lang w:val="lt-LT"/>
        </w:rPr>
      </w:pPr>
      <w:r w:rsidRPr="002C4B4A">
        <w:rPr>
          <w:rStyle w:val="FootnoteReference"/>
          <w:sz w:val="24"/>
          <w:lang w:val="lt-LT"/>
        </w:rPr>
        <w:footnoteRef/>
      </w:r>
      <w:r w:rsidR="002C4B4A" w:rsidRPr="002C4B4A">
        <w:rPr>
          <w:sz w:val="24"/>
          <w:lang w:val="lt-LT"/>
        </w:rPr>
        <w:t xml:space="preserve"> </w:t>
      </w:r>
      <w:r w:rsidR="002C4B4A" w:rsidRPr="002C4B4A">
        <w:rPr>
          <w:sz w:val="24"/>
          <w:lang w:val="lt-LT"/>
        </w:rPr>
        <w:tab/>
      </w:r>
      <w:r w:rsidRPr="002C4B4A">
        <w:rPr>
          <w:sz w:val="24"/>
          <w:lang w:val="lt-LT"/>
        </w:rPr>
        <w:t xml:space="preserve">OL L 433 I, 2020 12 22, p. 11, ELI: </w:t>
      </w:r>
      <w:hyperlink r:id="rId3" w:history="1">
        <w:r w:rsidRPr="002C4B4A">
          <w:rPr>
            <w:rStyle w:val="Hyperlink"/>
            <w:sz w:val="24"/>
            <w:lang w:val="lt-LT"/>
          </w:rPr>
          <w:t>http://data.europa.eu/eli/reg/2020/2093/oj</w:t>
        </w:r>
      </w:hyperlink>
      <w:r w:rsidRPr="002C4B4A">
        <w:rPr>
          <w:sz w:val="24"/>
          <w:lang w:val="lt-LT"/>
        </w:rPr>
        <w:t>.</w:t>
      </w:r>
    </w:p>
  </w:footnote>
  <w:footnote w:id="5">
    <w:p w:rsidR="00BC3EA6" w:rsidRPr="002C4B4A" w:rsidRDefault="00BC3EA6" w:rsidP="002C4B4A">
      <w:pPr>
        <w:pStyle w:val="FootnoteText"/>
        <w:ind w:left="567" w:hanging="567"/>
        <w:rPr>
          <w:sz w:val="24"/>
          <w:lang w:val="lt-LT"/>
        </w:rPr>
      </w:pPr>
      <w:r w:rsidRPr="002C4B4A">
        <w:rPr>
          <w:rStyle w:val="FootnoteReference"/>
          <w:sz w:val="24"/>
          <w:lang w:val="lt-LT"/>
        </w:rPr>
        <w:footnoteRef/>
      </w:r>
      <w:r w:rsidR="002C4B4A" w:rsidRPr="002C4B4A">
        <w:rPr>
          <w:sz w:val="24"/>
          <w:lang w:val="lt-LT"/>
        </w:rPr>
        <w:t xml:space="preserve"> </w:t>
      </w:r>
      <w:r w:rsidR="002C4B4A" w:rsidRPr="002C4B4A">
        <w:rPr>
          <w:sz w:val="24"/>
          <w:lang w:val="lt-LT"/>
        </w:rPr>
        <w:tab/>
      </w:r>
      <w:r w:rsidRPr="002C4B4A">
        <w:rPr>
          <w:sz w:val="24"/>
          <w:lang w:val="lt-LT"/>
        </w:rPr>
        <w:t xml:space="preserve">OL L 433 I, 2020 12 22, p. 28, ELI: </w:t>
      </w:r>
      <w:hyperlink r:id="rId4" w:history="1">
        <w:r w:rsidRPr="002C4B4A">
          <w:rPr>
            <w:rStyle w:val="Hyperlink"/>
            <w:sz w:val="24"/>
            <w:lang w:val="lt-LT"/>
          </w:rPr>
          <w:t>http://data.europa.eu/eli/agree_interinstit/2020/1222/oj</w:t>
        </w:r>
      </w:hyperlink>
      <w:r w:rsidRPr="002C4B4A">
        <w:rPr>
          <w:sz w:val="24"/>
          <w:lang w:val="lt-LT"/>
        </w:rPr>
        <w:t>.</w:t>
      </w:r>
    </w:p>
  </w:footnote>
  <w:footnote w:id="6">
    <w:p w:rsidR="00BC3EA6" w:rsidRPr="002C4B4A" w:rsidRDefault="00BC3EA6" w:rsidP="002C4B4A">
      <w:pPr>
        <w:pStyle w:val="FootnoteText"/>
        <w:ind w:left="567" w:hanging="567"/>
        <w:rPr>
          <w:sz w:val="24"/>
          <w:lang w:val="lt-LT"/>
        </w:rPr>
      </w:pPr>
      <w:r w:rsidRPr="002C4B4A">
        <w:rPr>
          <w:rStyle w:val="FootnoteReference"/>
          <w:sz w:val="24"/>
          <w:lang w:val="lt-LT"/>
        </w:rPr>
        <w:footnoteRef/>
      </w:r>
      <w:r w:rsidR="002C4B4A" w:rsidRPr="002C4B4A">
        <w:rPr>
          <w:sz w:val="24"/>
          <w:lang w:val="lt-LT"/>
        </w:rPr>
        <w:t xml:space="preserve"> </w:t>
      </w:r>
      <w:r w:rsidR="002C4B4A" w:rsidRPr="002C4B4A">
        <w:rPr>
          <w:sz w:val="24"/>
          <w:lang w:val="lt-LT"/>
        </w:rPr>
        <w:tab/>
      </w:r>
      <w:r w:rsidRPr="002C4B4A">
        <w:rPr>
          <w:sz w:val="24"/>
          <w:lang w:val="lt-LT"/>
        </w:rPr>
        <w:t>OL L 424, 2020 12 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B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B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B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LT"/>
    <w:docVar w:name="dvnumam" w:val="0"/>
    <w:docVar w:name="dvpe" w:val="763.033"/>
    <w:docVar w:name="dvrapporteur" w:val="Pranešėjas: "/>
    <w:docVar w:name="dvtitre" w:val="2024 m. spalio XX d. Europos Parlamento teisėkūros rezoliucija dėl Tarybos pozicijos dėl 2024 finansinių metų Europos Sąjungos taisomojo biudžeto Nr. 2/2024 projekto – 2023 finansinių metų pertekliaus įrašymas į biudžetą(12081/2024 – C10-0107/2024 – 2024/0089(BUD))"/>
  </w:docVars>
  <w:rsids>
    <w:rsidRoot w:val="00E66B65"/>
    <w:rsid w:val="00002272"/>
    <w:rsid w:val="00064002"/>
    <w:rsid w:val="000677B9"/>
    <w:rsid w:val="000831BA"/>
    <w:rsid w:val="000A42CC"/>
    <w:rsid w:val="000E7DD9"/>
    <w:rsid w:val="0010095E"/>
    <w:rsid w:val="00125B37"/>
    <w:rsid w:val="00187494"/>
    <w:rsid w:val="001F32AE"/>
    <w:rsid w:val="002767FF"/>
    <w:rsid w:val="002B18FE"/>
    <w:rsid w:val="002B5493"/>
    <w:rsid w:val="002C4B4A"/>
    <w:rsid w:val="00343214"/>
    <w:rsid w:val="00361C00"/>
    <w:rsid w:val="00395FA1"/>
    <w:rsid w:val="003E15D4"/>
    <w:rsid w:val="00411CCE"/>
    <w:rsid w:val="0041666E"/>
    <w:rsid w:val="00417562"/>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6A5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3EA6"/>
    <w:rsid w:val="00BD48FE"/>
    <w:rsid w:val="00BD7BD8"/>
    <w:rsid w:val="00BE6ADC"/>
    <w:rsid w:val="00C05BFE"/>
    <w:rsid w:val="00C23CD4"/>
    <w:rsid w:val="00C31E14"/>
    <w:rsid w:val="00C61C0C"/>
    <w:rsid w:val="00C941CB"/>
    <w:rsid w:val="00CC2357"/>
    <w:rsid w:val="00CF071A"/>
    <w:rsid w:val="00D058B8"/>
    <w:rsid w:val="00D56C11"/>
    <w:rsid w:val="00D834A0"/>
    <w:rsid w:val="00D872DF"/>
    <w:rsid w:val="00D91E21"/>
    <w:rsid w:val="00DA7FCD"/>
    <w:rsid w:val="00E365E1"/>
    <w:rsid w:val="00E66B65"/>
    <w:rsid w:val="00E820A4"/>
    <w:rsid w:val="00EB006A"/>
    <w:rsid w:val="00EB4772"/>
    <w:rsid w:val="00ED169E"/>
    <w:rsid w:val="00ED4235"/>
    <w:rsid w:val="00F04346"/>
    <w:rsid w:val="00F075DC"/>
    <w:rsid w:val="00F149E9"/>
    <w:rsid w:val="00F232E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908D24"/>
  <w15:chartTrackingRefBased/>
  <w15:docId w15:val="{2D620362-21C2-43A6-961C-3F2C24168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3EA6"/>
    <w:pPr>
      <w:spacing w:before="480" w:after="240"/>
    </w:pPr>
  </w:style>
  <w:style w:type="paragraph" w:customStyle="1" w:styleId="NormalHanging12a">
    <w:name w:val="NormalHanging12a"/>
    <w:basedOn w:val="Normal"/>
    <w:rsid w:val="00BC3EA6"/>
    <w:pPr>
      <w:spacing w:after="240"/>
      <w:ind w:left="567" w:hanging="567"/>
    </w:pPr>
  </w:style>
  <w:style w:type="character" w:styleId="Hyperlink">
    <w:name w:val="Hyperlink"/>
    <w:basedOn w:val="DefaultParagraphFont"/>
    <w:rsid w:val="00BC3EA6"/>
    <w:rPr>
      <w:color w:val="0563C1" w:themeColor="hyperlink"/>
      <w:u w:val="single"/>
    </w:rPr>
  </w:style>
  <w:style w:type="paragraph" w:styleId="BalloonText">
    <w:name w:val="Balloon Text"/>
    <w:basedOn w:val="Normal"/>
    <w:link w:val="BalloonTextChar"/>
    <w:rsid w:val="00816A50"/>
    <w:rPr>
      <w:rFonts w:ascii="Segoe UI" w:hAnsi="Segoe UI" w:cs="Segoe UI"/>
      <w:sz w:val="18"/>
      <w:szCs w:val="18"/>
    </w:rPr>
  </w:style>
  <w:style w:type="character" w:customStyle="1" w:styleId="BalloonTextChar">
    <w:name w:val="Balloon Text Char"/>
    <w:basedOn w:val="DefaultParagraphFont"/>
    <w:link w:val="BalloonText"/>
    <w:rsid w:val="00816A50"/>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18/1046/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3308E-E6CD-4A89-876D-255D54181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5576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2024-10-22T09:10:00Z</dcterms:created>
  <dcterms:modified xsi:type="dcterms:W3CDTF">2024-10-22T09:10:00Z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A10-0005/2024</vt:lpwstr>
  </property>
  <property fmtid="{D5CDD505-2E9C-101B-9397-08002B2CF9AE}" pid="4" name="&lt;Type&gt;">
    <vt:lpwstr>RR</vt:lpwstr>
  </property>
</Properties>
</file>