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796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7969" w:rsidRDefault="000A5601" w:rsidP="0010095E">
            <w:pPr>
              <w:pStyle w:val="EPName"/>
            </w:pPr>
            <w:r w:rsidRPr="002D7969">
              <w:t>Parlament Europejski</w:t>
            </w:r>
          </w:p>
          <w:p w:rsidR="00751A4A" w:rsidRPr="002D79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7969">
              <w:t>2024</w:t>
            </w:r>
            <w:r w:rsidR="00817416" w:rsidRPr="002D7969">
              <w:t>-202</w:t>
            </w:r>
            <w:r w:rsidRPr="002D796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D7969" w:rsidRDefault="00187494" w:rsidP="0010095E">
            <w:pPr>
              <w:pStyle w:val="EPLogo"/>
            </w:pPr>
            <w:r w:rsidRPr="002D796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7969" w:rsidRDefault="00D058B8" w:rsidP="004C5D52">
      <w:pPr>
        <w:pStyle w:val="LineTop"/>
      </w:pPr>
    </w:p>
    <w:p w:rsidR="00680577" w:rsidRPr="002D7969" w:rsidRDefault="000A5601" w:rsidP="00680577">
      <w:pPr>
        <w:pStyle w:val="EPBodyTA1"/>
      </w:pPr>
      <w:r w:rsidRPr="002D7969">
        <w:t>TEKSTY PRZYJĘTE</w:t>
      </w:r>
    </w:p>
    <w:p w:rsidR="00D058B8" w:rsidRPr="002D7969" w:rsidRDefault="00D058B8" w:rsidP="00D058B8">
      <w:pPr>
        <w:pStyle w:val="LineBottom"/>
      </w:pPr>
    </w:p>
    <w:p w:rsidR="000A5601" w:rsidRPr="002D7969" w:rsidRDefault="000A5601" w:rsidP="000A5601">
      <w:pPr>
        <w:pStyle w:val="ATHeading1"/>
      </w:pPr>
      <w:bookmarkStart w:id="0" w:name="TANumber"/>
      <w:r w:rsidRPr="002D7969">
        <w:t>P10_TA(2024)</w:t>
      </w:r>
      <w:bookmarkEnd w:id="0"/>
      <w:r w:rsidR="006D099F" w:rsidRPr="002D7969">
        <w:t>00</w:t>
      </w:r>
      <w:r w:rsidR="006D099F">
        <w:t>23</w:t>
      </w:r>
    </w:p>
    <w:p w:rsidR="000A5601" w:rsidRPr="002D7969" w:rsidRDefault="000A5601" w:rsidP="000A5601">
      <w:pPr>
        <w:pStyle w:val="ATHeading2"/>
      </w:pPr>
      <w:bookmarkStart w:id="1" w:name="title"/>
      <w:r w:rsidRPr="002D7969">
        <w:t>Projekt budżetu korygującego nr 2</w:t>
      </w:r>
      <w:r w:rsidR="00F85CDD">
        <w:t>/2024</w:t>
      </w:r>
      <w:r w:rsidRPr="002D7969">
        <w:t xml:space="preserve"> do budżetu ogólnego 2024 – Zapisanie nadwyżki z roku</w:t>
      </w:r>
      <w:r w:rsidR="006D099F">
        <w:t xml:space="preserve"> </w:t>
      </w:r>
      <w:r w:rsidRPr="002D7969">
        <w:t>budżetowego 2023</w:t>
      </w:r>
      <w:bookmarkEnd w:id="1"/>
    </w:p>
    <w:p w:rsidR="000A5601" w:rsidRPr="002D7969" w:rsidRDefault="000A5601" w:rsidP="000A5601">
      <w:pPr>
        <w:rPr>
          <w:i/>
          <w:vanish/>
        </w:rPr>
      </w:pPr>
      <w:r w:rsidRPr="002D7969">
        <w:rPr>
          <w:i/>
        </w:rPr>
        <w:fldChar w:fldCharType="begin"/>
      </w:r>
      <w:r w:rsidRPr="002D7969">
        <w:rPr>
          <w:i/>
        </w:rPr>
        <w:instrText xml:space="preserve"> TC"(</w:instrText>
      </w:r>
      <w:bookmarkStart w:id="2" w:name="DocNumber"/>
      <w:r w:rsidRPr="002D7969">
        <w:rPr>
          <w:i/>
        </w:rPr>
        <w:instrText>A10-0005/2024</w:instrText>
      </w:r>
      <w:bookmarkEnd w:id="2"/>
      <w:r w:rsidRPr="002D7969">
        <w:rPr>
          <w:i/>
        </w:rPr>
        <w:instrText xml:space="preserve"> - Sprawozdawca: Siegfried Mureşan)"\l3 \n&gt; \* MERGEFORMAT </w:instrText>
      </w:r>
      <w:r w:rsidRPr="002D7969">
        <w:rPr>
          <w:i/>
        </w:rPr>
        <w:fldChar w:fldCharType="end"/>
      </w:r>
    </w:p>
    <w:p w:rsidR="000A5601" w:rsidRPr="002D7969" w:rsidRDefault="000A5601" w:rsidP="000A5601">
      <w:pPr>
        <w:rPr>
          <w:vanish/>
        </w:rPr>
      </w:pPr>
      <w:bookmarkStart w:id="3" w:name="Commission"/>
      <w:r w:rsidRPr="002D7969">
        <w:rPr>
          <w:vanish/>
        </w:rPr>
        <w:t>Komisja Budżetowa</w:t>
      </w:r>
      <w:bookmarkEnd w:id="3"/>
    </w:p>
    <w:p w:rsidR="000A5601" w:rsidRPr="002D7969" w:rsidRDefault="000A5601" w:rsidP="000A5601">
      <w:pPr>
        <w:rPr>
          <w:vanish/>
        </w:rPr>
      </w:pPr>
      <w:bookmarkStart w:id="4" w:name="PE"/>
      <w:r w:rsidRPr="002D7969">
        <w:rPr>
          <w:vanish/>
        </w:rPr>
        <w:t>PE763.033</w:t>
      </w:r>
      <w:bookmarkEnd w:id="4"/>
    </w:p>
    <w:p w:rsidR="000A5601" w:rsidRPr="002D7969" w:rsidRDefault="000A5601" w:rsidP="000A5601">
      <w:pPr>
        <w:pStyle w:val="ATHeading3"/>
      </w:pPr>
      <w:bookmarkStart w:id="5" w:name="Sujet"/>
      <w:r w:rsidRPr="002D7969">
        <w:t xml:space="preserve">Rezolucja Parlamentu Europejskiego z dnia </w:t>
      </w:r>
      <w:r w:rsidR="00366498">
        <w:t>22 października</w:t>
      </w:r>
      <w:r w:rsidRPr="002D7969">
        <w:t xml:space="preserve"> 2024 r. w sprawie stanowiska Rady dotyczącego projektu budżetu korygującego nr 2/2024 Unii Europejskiej na rok budżetowy 2024 – zapisanie nadwyżki z roku budżetowego 2023</w:t>
      </w:r>
      <w:bookmarkEnd w:id="5"/>
      <w:r w:rsidRPr="002D7969">
        <w:t xml:space="preserve"> </w:t>
      </w:r>
      <w:bookmarkStart w:id="6" w:name="References"/>
      <w:r w:rsidRPr="002D7969">
        <w:t>(12081/2024 – C10-0107/2024 – 2024/0089(BUD))</w:t>
      </w:r>
      <w:bookmarkEnd w:id="6"/>
    </w:p>
    <w:p w:rsidR="006E59E0" w:rsidRPr="002D7969" w:rsidRDefault="006E59E0" w:rsidP="006E59E0">
      <w:pPr>
        <w:pStyle w:val="EPComma"/>
      </w:pPr>
      <w:bookmarkStart w:id="7" w:name="TextBodyBegin"/>
      <w:bookmarkEnd w:id="7"/>
      <w:r w:rsidRPr="002D7969">
        <w:rPr>
          <w:i/>
        </w:rPr>
        <w:t>Parlament Europejski</w:t>
      </w:r>
      <w:r w:rsidRPr="002D7969">
        <w:t>,</w:t>
      </w:r>
    </w:p>
    <w:p w:rsidR="006E59E0" w:rsidRPr="002D7969" w:rsidRDefault="006E59E0" w:rsidP="006E59E0">
      <w:pPr>
        <w:pStyle w:val="NormalHanging12a"/>
      </w:pPr>
      <w:r w:rsidRPr="002D7969">
        <w:t>–</w:t>
      </w:r>
      <w:r w:rsidRPr="002D7969">
        <w:tab/>
        <w:t>uwzględniając art. 314 Traktatu o funkcjonowaniu Unii Europejskiej,</w:t>
      </w:r>
    </w:p>
    <w:p w:rsidR="006E59E0" w:rsidRPr="002D7969" w:rsidRDefault="006E59E0" w:rsidP="006E59E0">
      <w:pPr>
        <w:pStyle w:val="NormalHanging12a"/>
      </w:pPr>
      <w:r w:rsidRPr="002D7969">
        <w:t>–</w:t>
      </w:r>
      <w:r w:rsidRPr="002D7969">
        <w:tab/>
        <w:t>uwzględniając art. 106a Traktatu ustanawiającego Europejską Wspólnotę Energii Atomowej,</w:t>
      </w:r>
    </w:p>
    <w:p w:rsidR="006E59E0" w:rsidRDefault="006E59E0" w:rsidP="006E59E0">
      <w:pPr>
        <w:pStyle w:val="NormalHanging12a"/>
      </w:pPr>
      <w:r w:rsidRPr="002D7969">
        <w:t>–</w:t>
      </w:r>
      <w:r w:rsidRPr="002D7969">
        <w:tab/>
        <w:t xml:space="preserve">uwzględniając rozporządzenie Parlamentu Europejskiego i Rady (UE, </w:t>
      </w:r>
      <w:proofErr w:type="spellStart"/>
      <w:r w:rsidRPr="002D7969">
        <w:t>Euratom</w:t>
      </w:r>
      <w:proofErr w:type="spellEnd"/>
      <w:r w:rsidRPr="002D7969">
        <w:t xml:space="preserve">) 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rozporządzenie (UE, </w:t>
      </w:r>
      <w:proofErr w:type="spellStart"/>
      <w:r w:rsidRPr="002D7969">
        <w:t>Euratom</w:t>
      </w:r>
      <w:proofErr w:type="spellEnd"/>
      <w:r w:rsidRPr="002D7969">
        <w:t>) nr 966/2012</w:t>
      </w:r>
      <w:r w:rsidRPr="002D7969">
        <w:rPr>
          <w:rStyle w:val="FootnoteReference"/>
        </w:rPr>
        <w:footnoteReference w:id="1"/>
      </w:r>
      <w:r w:rsidRPr="002D7969">
        <w:t>, w szczególności jego art. 44,</w:t>
      </w:r>
    </w:p>
    <w:p w:rsidR="00366498" w:rsidRPr="00112F40" w:rsidRDefault="00366498" w:rsidP="006E59E0">
      <w:pPr>
        <w:pStyle w:val="NormalHanging12a"/>
      </w:pPr>
      <w:r w:rsidRPr="00112F40">
        <w:t>–</w:t>
      </w:r>
      <w:r w:rsidRPr="00112F40">
        <w:tab/>
      </w:r>
      <w:r w:rsidR="00112F40" w:rsidRPr="002D7969">
        <w:t>uwzględniając</w:t>
      </w:r>
      <w:r w:rsidRPr="00112F40">
        <w:t xml:space="preserve"> </w:t>
      </w:r>
      <w:r w:rsidR="00112F40">
        <w:t>r</w:t>
      </w:r>
      <w:r w:rsidR="00112F40" w:rsidRPr="006D099F">
        <w:t xml:space="preserve">ozporządzenie Parlamentu Europejskiego i Rady (UE, </w:t>
      </w:r>
      <w:proofErr w:type="spellStart"/>
      <w:r w:rsidR="00112F40" w:rsidRPr="006D099F">
        <w:t>Euratom</w:t>
      </w:r>
      <w:proofErr w:type="spellEnd"/>
      <w:r w:rsidR="00112F40" w:rsidRPr="006D099F">
        <w:t>) 2024/2509 z dnia 23 września 2024 r. w sprawie zasad finansowych mających zastosowanie do budżetu ogólnego Unii</w:t>
      </w:r>
      <w:r w:rsidRPr="00F63F28">
        <w:rPr>
          <w:rStyle w:val="FootnoteReference"/>
        </w:rPr>
        <w:footnoteReference w:id="2"/>
      </w:r>
      <w:r w:rsidRPr="00112F40">
        <w:t xml:space="preserve">, </w:t>
      </w:r>
      <w:r w:rsidR="00112F40" w:rsidRPr="00112F40">
        <w:t>w szczególności jego art. 44</w:t>
      </w:r>
      <w:r w:rsidRPr="00112F40">
        <w:t>,</w:t>
      </w:r>
    </w:p>
    <w:p w:rsidR="006E59E0" w:rsidRPr="002D7969" w:rsidRDefault="006E59E0" w:rsidP="006E59E0">
      <w:pPr>
        <w:pStyle w:val="NormalHanging12a"/>
      </w:pPr>
      <w:r w:rsidRPr="002D7969">
        <w:t>–</w:t>
      </w:r>
      <w:r w:rsidRPr="002D7969">
        <w:tab/>
        <w:t>uwzględniając budżet ogólny Unii Europejskiej na rok budżetowy 2024 w formie przyjętej ostatecznie w dniu 22 listopada 2023 r.</w:t>
      </w:r>
      <w:r w:rsidRPr="002D7969">
        <w:rPr>
          <w:rStyle w:val="FootnoteReference"/>
        </w:rPr>
        <w:footnoteReference w:id="3"/>
      </w:r>
      <w:r w:rsidRPr="002D7969">
        <w:t>,</w:t>
      </w:r>
    </w:p>
    <w:p w:rsidR="006E59E0" w:rsidRPr="002D7969" w:rsidRDefault="006E59E0" w:rsidP="006E59E0">
      <w:pPr>
        <w:pStyle w:val="NormalHanging12a"/>
      </w:pPr>
      <w:r w:rsidRPr="002D7969">
        <w:t>–</w:t>
      </w:r>
      <w:r w:rsidRPr="002D7969">
        <w:tab/>
        <w:t xml:space="preserve">uwzględniając rozporządzenie Rady (UE, </w:t>
      </w:r>
      <w:proofErr w:type="spellStart"/>
      <w:r w:rsidRPr="002D7969">
        <w:t>Euratom</w:t>
      </w:r>
      <w:proofErr w:type="spellEnd"/>
      <w:r w:rsidRPr="002D7969">
        <w:t>) 2020/2093 z dnia 17 grudnia 2020 r. określające wieloletnie ramy finansowe na lata 2021–2027</w:t>
      </w:r>
      <w:r w:rsidRPr="002D7969">
        <w:rPr>
          <w:rStyle w:val="FootnoteReference"/>
        </w:rPr>
        <w:footnoteReference w:id="4"/>
      </w:r>
      <w:r w:rsidRPr="002D7969">
        <w:t>,</w:t>
      </w:r>
    </w:p>
    <w:p w:rsidR="006E59E0" w:rsidRPr="002D7969" w:rsidRDefault="006E59E0" w:rsidP="006E59E0">
      <w:pPr>
        <w:pStyle w:val="NormalHanging12a"/>
      </w:pPr>
      <w:r w:rsidRPr="002D7969">
        <w:lastRenderedPageBreak/>
        <w:t>–</w:t>
      </w:r>
      <w:r w:rsidRPr="002D7969">
        <w:tab/>
        <w:t>uwzględniając porozumienie międzyinstytucjonalne z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 w:rsidRPr="002D7969">
        <w:rPr>
          <w:rStyle w:val="FootnoteReference"/>
        </w:rPr>
        <w:footnoteReference w:id="5"/>
      </w:r>
      <w:r w:rsidRPr="002D7969">
        <w:t>,</w:t>
      </w:r>
    </w:p>
    <w:p w:rsidR="006E59E0" w:rsidRPr="002D7969" w:rsidRDefault="006E59E0" w:rsidP="006E59E0">
      <w:pPr>
        <w:pStyle w:val="NormalHanging12a"/>
      </w:pPr>
      <w:r w:rsidRPr="002D7969">
        <w:t>–</w:t>
      </w:r>
      <w:r w:rsidRPr="002D7969">
        <w:tab/>
        <w:t xml:space="preserve">uwzględniając decyzję Rady (UE, </w:t>
      </w:r>
      <w:proofErr w:type="spellStart"/>
      <w:r w:rsidRPr="002D7969">
        <w:t>Euratom</w:t>
      </w:r>
      <w:proofErr w:type="spellEnd"/>
      <w:r w:rsidRPr="002D7969">
        <w:t xml:space="preserve">) 2020/2053 z dnia 14 grudnia 2020 r. w sprawie systemu zasobów własnych Unii Europejskiej oraz uchylającą decyzję 2014/335/UE, </w:t>
      </w:r>
      <w:proofErr w:type="spellStart"/>
      <w:r w:rsidRPr="002D7969">
        <w:t>Euratom</w:t>
      </w:r>
      <w:proofErr w:type="spellEnd"/>
      <w:r w:rsidRPr="002D7969">
        <w:rPr>
          <w:rStyle w:val="FootnoteReference"/>
        </w:rPr>
        <w:footnoteReference w:id="6"/>
      </w:r>
      <w:r w:rsidRPr="002D7969">
        <w:t>,</w:t>
      </w:r>
    </w:p>
    <w:p w:rsidR="006E59E0" w:rsidRPr="002D7969" w:rsidRDefault="006E59E0" w:rsidP="006E59E0">
      <w:pPr>
        <w:pStyle w:val="NormalHanging12a"/>
      </w:pPr>
      <w:r w:rsidRPr="002D7969">
        <w:t>–</w:t>
      </w:r>
      <w:r w:rsidRPr="002D7969">
        <w:tab/>
        <w:t>uwzględniając projekt budżetu korygującego nr 2/2024 przyjęty przez Komisję 9 kwietnia 2024 r. (COM(2024)0920),</w:t>
      </w:r>
    </w:p>
    <w:p w:rsidR="006E59E0" w:rsidRPr="002D7969" w:rsidRDefault="006E59E0" w:rsidP="006E59E0">
      <w:pPr>
        <w:pStyle w:val="NormalHanging12a"/>
      </w:pPr>
      <w:r w:rsidRPr="002D7969">
        <w:t>–</w:t>
      </w:r>
      <w:r w:rsidRPr="002D7969">
        <w:tab/>
        <w:t>uwzględniając stanowisko dotyczące projektu budżetu korygującego nr 2/2024 przyjęte przez Radę dnia 13 września 2024 r. i przekazane Parlamentowi Europejskiemu dnia 16 września 2024 r. (12081/2024 – C10</w:t>
      </w:r>
      <w:r w:rsidRPr="002D7969">
        <w:noBreakHyphen/>
        <w:t>0107/2024),</w:t>
      </w:r>
    </w:p>
    <w:p w:rsidR="006E59E0" w:rsidRPr="002D7969" w:rsidRDefault="006E59E0" w:rsidP="006E59E0">
      <w:pPr>
        <w:pStyle w:val="NormalHanging12a"/>
      </w:pPr>
      <w:r w:rsidRPr="002D7969">
        <w:t>–</w:t>
      </w:r>
      <w:r w:rsidRPr="002D7969">
        <w:tab/>
        <w:t xml:space="preserve">uwzględniając art. 96 i 98 Regulaminu, </w:t>
      </w:r>
    </w:p>
    <w:p w:rsidR="006E59E0" w:rsidRPr="002D7969" w:rsidRDefault="006E59E0" w:rsidP="006E59E0">
      <w:pPr>
        <w:pStyle w:val="NormalHanging12a"/>
      </w:pPr>
      <w:r w:rsidRPr="002D7969">
        <w:t>–</w:t>
      </w:r>
      <w:r w:rsidRPr="002D7969">
        <w:tab/>
        <w:t>uwzględniając sprawozdanie Komisji Budżetowej (A10-0005/2024),</w:t>
      </w:r>
    </w:p>
    <w:p w:rsidR="006E59E0" w:rsidRPr="002D7969" w:rsidRDefault="006E59E0" w:rsidP="006E59E0">
      <w:pPr>
        <w:pStyle w:val="NormalHanging12a"/>
      </w:pPr>
      <w:r w:rsidRPr="002D7969">
        <w:t>A.</w:t>
      </w:r>
      <w:r w:rsidRPr="002D7969">
        <w:tab/>
      </w:r>
      <w:proofErr w:type="gramStart"/>
      <w:r w:rsidRPr="002D7969">
        <w:t>mając</w:t>
      </w:r>
      <w:proofErr w:type="gramEnd"/>
      <w:r w:rsidRPr="002D7969">
        <w:t xml:space="preserve"> na uwadze, że projekt budżetu korygującego nr 2/2024 ma na celu wprowadzenie do budżetu na rok 2024 nadwyżki z roku budżetowego 2023 wynoszącej 633 mln EUR;</w:t>
      </w:r>
    </w:p>
    <w:p w:rsidR="006E59E0" w:rsidRPr="002D7969" w:rsidRDefault="006E59E0" w:rsidP="006E59E0">
      <w:pPr>
        <w:pStyle w:val="NormalHanging12a"/>
      </w:pPr>
      <w:r w:rsidRPr="002D7969">
        <w:t>B.</w:t>
      </w:r>
      <w:r w:rsidRPr="002D7969">
        <w:tab/>
        <w:t>mając na uwadze, że główne czynniki tej nadwyżki to dodatni wynik po stronie dochodów w wysokości 238,7 mln EUR oraz niewykorzystanie środków w wysokości 393,9 mln EUR;</w:t>
      </w:r>
    </w:p>
    <w:p w:rsidR="006E59E0" w:rsidRPr="002D7969" w:rsidRDefault="006E59E0" w:rsidP="006E59E0">
      <w:pPr>
        <w:pStyle w:val="NormalHanging12a"/>
      </w:pPr>
      <w:r w:rsidRPr="002D7969">
        <w:t>C.</w:t>
      </w:r>
      <w:r w:rsidRPr="002D7969">
        <w:tab/>
      </w:r>
      <w:proofErr w:type="gramStart"/>
      <w:r w:rsidRPr="002D7969">
        <w:t>mając</w:t>
      </w:r>
      <w:proofErr w:type="gramEnd"/>
      <w:r w:rsidRPr="002D7969">
        <w:t xml:space="preserve"> na uwadze, że po stronie dochodów głównymi czynnikami decydującymi o wielkości nadwyżki są dochody finansowe w wysokości 1766 mln EUR, odsetki za zwłokę i grzywny pomniejszone o należności celne w wysokości 1649 mln EUR, których wbrew oczekiwaniom nie uzyskano; mając na uwadze, że nadwyżka dochodów administracyjnych w wysokości 107 mln EUR wynika głównie z wyższej niż przewidywano składki emerytalnej oraz z pośredniej aktualizacji wynagrodzeń w styczniu 2023 r., która zwiększyła wpływy z tytułu podatków i opłat oraz składek emerytalnych;</w:t>
      </w:r>
    </w:p>
    <w:p w:rsidR="006E59E0" w:rsidRPr="002D7969" w:rsidRDefault="006E59E0" w:rsidP="006E59E0">
      <w:pPr>
        <w:pStyle w:val="NormalHanging12a"/>
      </w:pPr>
      <w:r w:rsidRPr="002D7969">
        <w:t>D.</w:t>
      </w:r>
      <w:r w:rsidRPr="002D7969">
        <w:tab/>
      </w:r>
      <w:proofErr w:type="gramStart"/>
      <w:r w:rsidRPr="002D7969">
        <w:t>mając</w:t>
      </w:r>
      <w:proofErr w:type="gramEnd"/>
      <w:r w:rsidRPr="002D7969">
        <w:t xml:space="preserve"> na uwadze, że po stronie wydatków Komisja nie wykorzystała środków na płatności w łącznej wysokości 70 mln EUR (0,1% zatwierdzonych środków na płatności); mając na uwadze, że pozostałe instytucje anulowały 48 mln EUR w środkach na płatności, utrzymując w ten sposób niski wskaźnik niepełnego wykorzystania środków z budżetu na 2022 r.;</w:t>
      </w:r>
    </w:p>
    <w:p w:rsidR="006E59E0" w:rsidRPr="002D7969" w:rsidRDefault="006E59E0" w:rsidP="006E59E0">
      <w:pPr>
        <w:widowControl/>
        <w:ind w:left="567" w:hanging="567"/>
      </w:pPr>
      <w:r w:rsidRPr="002D7969">
        <w:t>E.</w:t>
      </w:r>
      <w:r w:rsidRPr="002D7969">
        <w:tab/>
      </w:r>
      <w:proofErr w:type="gramStart"/>
      <w:r w:rsidRPr="002D7969">
        <w:t>mając</w:t>
      </w:r>
      <w:proofErr w:type="gramEnd"/>
      <w:r w:rsidRPr="002D7969">
        <w:t xml:space="preserve"> na uwadze, że w projekcie budżetu korygującego nr 2/2024 roczne ryczałtowe obniżki wkładów opartych na DNB, z których to obniżek korzystają Niemcy, Niderlandy, Dania, Szwecja i Austria, wynoszą około 5,4 mld EUR netto; </w:t>
      </w:r>
    </w:p>
    <w:p w:rsidR="006E59E0" w:rsidRPr="002D7969" w:rsidRDefault="006E59E0" w:rsidP="006E59E0">
      <w:pPr>
        <w:ind w:left="567" w:hanging="567"/>
        <w:rPr>
          <w:szCs w:val="24"/>
        </w:rPr>
      </w:pPr>
      <w:r w:rsidRPr="002D7969">
        <w:t>F.</w:t>
      </w:r>
      <w:r w:rsidRPr="002D7969">
        <w:tab/>
      </w:r>
      <w:proofErr w:type="gramStart"/>
      <w:r w:rsidRPr="002D7969">
        <w:t>mając</w:t>
      </w:r>
      <w:proofErr w:type="gramEnd"/>
      <w:r w:rsidRPr="002D7969">
        <w:t xml:space="preserve"> na uwadze, że jeżeli chodzi o marginesy i elastyczność w budżecie Unii, sytuacja pozostaje bardzo napięta pomimo przeglądu wieloletnich ram finansowych i </w:t>
      </w:r>
      <w:r w:rsidRPr="002D7969">
        <w:lastRenderedPageBreak/>
        <w:t>wprowadzenia nowego instrumentu EURI w celu pokrycia zwiększonych kosztów finansowania zewnętrznego w związku z Instrumentem Unii Europejskiej na rzecz Odbudowy, które są z natury nieprzewidywalne i wprowadzają do budżetu element niepewności; mając na uwadze, że w tym trudnym kontekście potrzeby budżetowe rosną;</w:t>
      </w:r>
    </w:p>
    <w:p w:rsidR="006E59E0" w:rsidRPr="002D7969" w:rsidRDefault="006E59E0" w:rsidP="006E59E0">
      <w:pPr>
        <w:ind w:left="567" w:hanging="567"/>
      </w:pPr>
    </w:p>
    <w:p w:rsidR="006E59E0" w:rsidRPr="002D7969" w:rsidRDefault="006E59E0" w:rsidP="006E59E0">
      <w:pPr>
        <w:pStyle w:val="NormalHanging12a"/>
      </w:pPr>
      <w:r w:rsidRPr="002D7969">
        <w:t>1.</w:t>
      </w:r>
      <w:r w:rsidRPr="002D7969">
        <w:tab/>
      </w:r>
      <w:proofErr w:type="gramStart"/>
      <w:r w:rsidRPr="002D7969">
        <w:t>odnotowuje</w:t>
      </w:r>
      <w:proofErr w:type="gramEnd"/>
      <w:r w:rsidRPr="002D7969">
        <w:t xml:space="preserve"> przedstawiony przez Komisję projekt budżetu korygującego nr 2/2024, który ma na celu wpisanie do budżetu nadwyżki środków budżetowych z 2023 r. wynoszącej 633 mln EUR zgodnie z art. 18 ust. 3 rozporządzenia finansowego;</w:t>
      </w:r>
    </w:p>
    <w:p w:rsidR="006E59E0" w:rsidRPr="002D7969" w:rsidRDefault="006E59E0" w:rsidP="006E59E0">
      <w:pPr>
        <w:pStyle w:val="NormalHanging12a"/>
      </w:pPr>
      <w:r w:rsidRPr="002D7969">
        <w:t>2.</w:t>
      </w:r>
      <w:r w:rsidRPr="002D7969">
        <w:tab/>
      </w:r>
      <w:proofErr w:type="gramStart"/>
      <w:r w:rsidRPr="002D7969">
        <w:t>z</w:t>
      </w:r>
      <w:proofErr w:type="gramEnd"/>
      <w:r w:rsidRPr="002D7969">
        <w:t xml:space="preserve"> zadowoleniem przyjmuje fakt, że nadwyżka w 2023 r. jest znacznie niższa niż nadwyżka z 2022 r., co wskazuje na poprawę prognozowania budżetowego i zarządzania budżetem przez Komisję; </w:t>
      </w:r>
    </w:p>
    <w:p w:rsidR="006E59E0" w:rsidRPr="002D7969" w:rsidRDefault="006E59E0" w:rsidP="006E59E0">
      <w:pPr>
        <w:pStyle w:val="NormalHanging12a"/>
      </w:pPr>
      <w:r w:rsidRPr="002D7969">
        <w:t>3.</w:t>
      </w:r>
      <w:r w:rsidRPr="002D7969">
        <w:tab/>
      </w:r>
      <w:proofErr w:type="gramStart"/>
      <w:r w:rsidRPr="002D7969">
        <w:t>podkreśla</w:t>
      </w:r>
      <w:proofErr w:type="gramEnd"/>
      <w:r w:rsidRPr="002D7969">
        <w:t>, że nadwyżka obniża łączny wkład państw członkowskich w finansowanie budżetu na 2024 r. w czasie, gdy potrzeby finansowe pozostają wysokie, a pole manewru w budżecie Unii jest bardzo ograniczone; podkreśla, że budżet musi zachować wystarczającą elastyczność, aby umożliwić Unii radzenie sobie z nieprzewidzianymi wydarzeniami i pojawiającymi się nowymi priorytetami;</w:t>
      </w:r>
    </w:p>
    <w:p w:rsidR="006E59E0" w:rsidRPr="002D7969" w:rsidRDefault="006E59E0" w:rsidP="006E59E0">
      <w:pPr>
        <w:pStyle w:val="NormalHanging12a"/>
      </w:pPr>
      <w:r w:rsidRPr="002D7969">
        <w:t>4.</w:t>
      </w:r>
      <w:r w:rsidRPr="002D7969">
        <w:tab/>
        <w:t xml:space="preserve">przypomina swoje długoletnie stanowisko, </w:t>
      </w:r>
      <w:proofErr w:type="gramStart"/>
      <w:r w:rsidRPr="002D7969">
        <w:t>zgodnie z którym</w:t>
      </w:r>
      <w:proofErr w:type="gramEnd"/>
      <w:r w:rsidRPr="002D7969">
        <w:t xml:space="preserve"> grzywny i opłaty powinny być wykorzystywane jako dodatkowy dochód dla budżetu Unii i nie powinny skutkować obniżeniem wkładów opartych na DNB;</w:t>
      </w:r>
    </w:p>
    <w:p w:rsidR="006E59E0" w:rsidRPr="002D7969" w:rsidRDefault="006E59E0" w:rsidP="006E59E0">
      <w:pPr>
        <w:widowControl/>
        <w:spacing w:before="120" w:after="120"/>
        <w:ind w:left="567" w:hanging="567"/>
      </w:pPr>
      <w:r w:rsidRPr="002D7969">
        <w:t>5.</w:t>
      </w:r>
      <w:r w:rsidRPr="002D7969">
        <w:tab/>
      </w:r>
      <w:proofErr w:type="gramStart"/>
      <w:r w:rsidRPr="002D7969">
        <w:t>przyjmuje</w:t>
      </w:r>
      <w:proofErr w:type="gramEnd"/>
      <w:r w:rsidRPr="002D7969">
        <w:t xml:space="preserve"> do wiadomości obliczenia dotyczące skorygowanych rocznych ryczałtowych obniżek wkładów opartych na DNB w przypadku pięciu państw członkowskich będących beneficjentami, które to obniżki wynoszą około 5,4 mld EUR netto; podkreśla, że korekty te są powiązane z inflacją i w związku z tym wzrastają w większym stopniu niż pułapy wieloletnich ram finansowych, które są corocznie dostosowywane na podstawie </w:t>
      </w:r>
      <w:proofErr w:type="spellStart"/>
      <w:r w:rsidRPr="002D7969">
        <w:t>deflatora</w:t>
      </w:r>
      <w:proofErr w:type="spellEnd"/>
      <w:r w:rsidRPr="002D7969">
        <w:t xml:space="preserve"> w wysokości 2%; podkreśla, że owa anomalia zwiększa obciążenie dla innych państw członkowskich;</w:t>
      </w:r>
    </w:p>
    <w:p w:rsidR="006E59E0" w:rsidRPr="002D7969" w:rsidRDefault="006E59E0" w:rsidP="006E59E0">
      <w:pPr>
        <w:pStyle w:val="NormalHanging12a"/>
        <w:rPr>
          <w:szCs w:val="24"/>
        </w:rPr>
      </w:pPr>
      <w:r w:rsidRPr="002D7969">
        <w:t>6.</w:t>
      </w:r>
      <w:r w:rsidRPr="002D7969">
        <w:tab/>
        <w:t>podkreśla potrzebę trwałych dochodów w budżecie Unii; w związku z tym ubolewa z powodu braku postępów w Radzie w zakresie reformy systemu zasobów własnych zgodnie z harmonogramem zawartym w porozumieniu międzyinstytucjonalnym;</w:t>
      </w:r>
      <w:r w:rsidRPr="002D7969">
        <w:rPr>
          <w:color w:val="1E1E1F"/>
          <w:shd w:val="clear" w:color="auto" w:fill="FFFFFF"/>
        </w:rPr>
        <w:t xml:space="preserve"> </w:t>
      </w:r>
      <w:r w:rsidRPr="002D7969">
        <w:t xml:space="preserve">przypomina o swoim stanowisku, </w:t>
      </w:r>
      <w:proofErr w:type="gramStart"/>
      <w:r w:rsidRPr="002D7969">
        <w:t>zgodnie z którym</w:t>
      </w:r>
      <w:proofErr w:type="gramEnd"/>
      <w:r w:rsidRPr="002D7969">
        <w:t xml:space="preserve"> popiera zmienione wnioski Komisji, i wzywa Radę do szybkiego przyjęcia tych wniosków w celu zwiększenia zasobów własnych dostępnych w budżecie Unii;</w:t>
      </w:r>
    </w:p>
    <w:p w:rsidR="006E59E0" w:rsidRPr="002D7969" w:rsidRDefault="006E59E0" w:rsidP="006E59E0">
      <w:pPr>
        <w:pStyle w:val="NormalHanging12a"/>
      </w:pPr>
      <w:r w:rsidRPr="002D7969">
        <w:t>7.</w:t>
      </w:r>
      <w:r w:rsidRPr="002D7969">
        <w:tab/>
      </w:r>
      <w:proofErr w:type="gramStart"/>
      <w:r w:rsidRPr="002D7969">
        <w:t>zatwierdza</w:t>
      </w:r>
      <w:proofErr w:type="gramEnd"/>
      <w:r w:rsidRPr="002D7969">
        <w:t xml:space="preserve"> stanowisko Rady dotyczące projektu budżetu korygującego nr 2/2024;</w:t>
      </w:r>
    </w:p>
    <w:p w:rsidR="006E59E0" w:rsidRPr="002D7969" w:rsidRDefault="006E59E0" w:rsidP="006E59E0">
      <w:pPr>
        <w:pStyle w:val="NormalHanging12a"/>
      </w:pPr>
      <w:r w:rsidRPr="002D7969">
        <w:t>8.</w:t>
      </w:r>
      <w:r w:rsidRPr="002D7969">
        <w:tab/>
      </w:r>
      <w:proofErr w:type="gramStart"/>
      <w:r w:rsidRPr="002D7969">
        <w:t>zobowiązuje</w:t>
      </w:r>
      <w:proofErr w:type="gramEnd"/>
      <w:r w:rsidRPr="002D7969">
        <w:t xml:space="preserve"> swoją przewodniczącą do ogłoszenia, że budżet korygujący nr </w:t>
      </w:r>
      <w:r w:rsidR="00366498">
        <w:t>3</w:t>
      </w:r>
      <w:r w:rsidRPr="002D7969">
        <w:t xml:space="preserve">/2024 został ostatecznie przyjęty, i do zarządzenia jego publikacji w </w:t>
      </w:r>
      <w:r w:rsidRPr="002D7969">
        <w:rPr>
          <w:i/>
        </w:rPr>
        <w:t>Dzienniku Urzędowym Unii Europejskiej</w:t>
      </w:r>
      <w:r w:rsidRPr="002D7969">
        <w:t>;</w:t>
      </w:r>
    </w:p>
    <w:p w:rsidR="006E59E0" w:rsidRPr="002D7969" w:rsidRDefault="006E59E0" w:rsidP="006E59E0">
      <w:pPr>
        <w:pStyle w:val="NormalHanging12a"/>
      </w:pPr>
      <w:r w:rsidRPr="002D7969">
        <w:t>9.</w:t>
      </w:r>
      <w:r w:rsidRPr="002D7969">
        <w:tab/>
      </w:r>
      <w:proofErr w:type="gramStart"/>
      <w:r w:rsidRPr="002D7969">
        <w:t>zobowiązuje</w:t>
      </w:r>
      <w:proofErr w:type="gramEnd"/>
      <w:r w:rsidRPr="002D7969">
        <w:t xml:space="preserve"> swoją przewodniczącą do przekazania niniejszej rezolucji Radzie i Komisji, jak również pozostałym instytucjom i właściwym organom oraz parlamentom narodowym.</w:t>
      </w:r>
    </w:p>
    <w:p w:rsidR="006E59E0" w:rsidRPr="002D7969" w:rsidRDefault="006E59E0" w:rsidP="006E59E0">
      <w:pPr>
        <w:pStyle w:val="NormalHanging12a"/>
      </w:pPr>
    </w:p>
    <w:sectPr w:rsidR="006E59E0" w:rsidRPr="002D7969" w:rsidSect="002D79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601" w:rsidRPr="002D7969" w:rsidRDefault="000A5601">
      <w:r w:rsidRPr="002D7969">
        <w:separator/>
      </w:r>
    </w:p>
  </w:endnote>
  <w:endnote w:type="continuationSeparator" w:id="0">
    <w:p w:rsidR="000A5601" w:rsidRPr="002D7969" w:rsidRDefault="000A5601">
      <w:r w:rsidRPr="002D79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9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9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9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601" w:rsidRPr="002D7969" w:rsidRDefault="000A5601">
      <w:r w:rsidRPr="002D7969">
        <w:separator/>
      </w:r>
    </w:p>
  </w:footnote>
  <w:footnote w:type="continuationSeparator" w:id="0">
    <w:p w:rsidR="000A5601" w:rsidRPr="002D7969" w:rsidRDefault="000A5601">
      <w:r w:rsidRPr="002D7969">
        <w:continuationSeparator/>
      </w:r>
    </w:p>
  </w:footnote>
  <w:footnote w:id="1">
    <w:p w:rsidR="006E59E0" w:rsidRPr="002D7969" w:rsidRDefault="006E59E0" w:rsidP="002D7969">
      <w:pPr>
        <w:pStyle w:val="FootnoteText"/>
        <w:ind w:left="567" w:hanging="567"/>
        <w:rPr>
          <w:sz w:val="24"/>
          <w:lang w:val="pl-PL"/>
        </w:rPr>
      </w:pPr>
      <w:r w:rsidRPr="002D7969">
        <w:rPr>
          <w:rStyle w:val="FootnoteReference"/>
          <w:sz w:val="24"/>
          <w:lang w:val="pl-PL"/>
        </w:rPr>
        <w:footnoteRef/>
      </w:r>
      <w:r w:rsidR="002D7969" w:rsidRPr="002D7969">
        <w:rPr>
          <w:sz w:val="24"/>
          <w:lang w:val="pl-PL"/>
        </w:rPr>
        <w:t xml:space="preserve"> </w:t>
      </w:r>
      <w:r w:rsidR="002D7969" w:rsidRPr="002D7969">
        <w:rPr>
          <w:sz w:val="24"/>
          <w:lang w:val="pl-PL"/>
        </w:rPr>
        <w:tab/>
      </w:r>
      <w:r w:rsidRPr="002D7969">
        <w:rPr>
          <w:sz w:val="24"/>
          <w:lang w:val="pl-PL"/>
        </w:rPr>
        <w:t xml:space="preserve">Dz.U. L 193 z 30.7.2018, </w:t>
      </w:r>
      <w:proofErr w:type="gramStart"/>
      <w:r w:rsidRPr="002D7969">
        <w:rPr>
          <w:sz w:val="24"/>
          <w:lang w:val="pl-PL"/>
        </w:rPr>
        <w:t>s</w:t>
      </w:r>
      <w:proofErr w:type="gramEnd"/>
      <w:r w:rsidRPr="002D7969">
        <w:rPr>
          <w:sz w:val="24"/>
          <w:lang w:val="pl-PL"/>
        </w:rPr>
        <w:t xml:space="preserve">. 1, ELI: </w:t>
      </w:r>
      <w:hyperlink r:id="rId1" w:history="1">
        <w:r w:rsidRPr="002D7969">
          <w:rPr>
            <w:rStyle w:val="Hyperlink"/>
            <w:sz w:val="24"/>
            <w:lang w:val="pl-PL"/>
          </w:rPr>
          <w:t>http://data.europa.eu/eli/reg/2018/1046/oj</w:t>
        </w:r>
      </w:hyperlink>
      <w:r w:rsidRPr="002D7969">
        <w:rPr>
          <w:sz w:val="24"/>
          <w:lang w:val="pl-PL"/>
        </w:rPr>
        <w:t>.</w:t>
      </w:r>
    </w:p>
  </w:footnote>
  <w:footnote w:id="2">
    <w:p w:rsidR="00366498" w:rsidRPr="00D2023E" w:rsidRDefault="00366498" w:rsidP="006D099F">
      <w:pPr>
        <w:pStyle w:val="FootnoteText"/>
        <w:ind w:left="567" w:hanging="567"/>
        <w:rPr>
          <w:sz w:val="24"/>
          <w:szCs w:val="24"/>
          <w:lang w:val="fi-FI"/>
        </w:rPr>
      </w:pPr>
      <w:r w:rsidRPr="00D2023E">
        <w:rPr>
          <w:rStyle w:val="FootnoteReference"/>
          <w:sz w:val="24"/>
          <w:szCs w:val="24"/>
        </w:rPr>
        <w:footnoteRef/>
      </w:r>
      <w:r w:rsidR="00112F40">
        <w:rPr>
          <w:sz w:val="24"/>
          <w:szCs w:val="24"/>
          <w:lang w:val="fi-FI"/>
        </w:rPr>
        <w:t xml:space="preserve"> </w:t>
      </w:r>
      <w:r w:rsidRPr="00D2023E">
        <w:rPr>
          <w:sz w:val="24"/>
          <w:szCs w:val="24"/>
          <w:lang w:val="fi-FI"/>
        </w:rPr>
        <w:tab/>
      </w:r>
      <w:proofErr w:type="spellStart"/>
      <w:r w:rsidR="00112F40" w:rsidRPr="006D099F">
        <w:rPr>
          <w:sz w:val="24"/>
          <w:lang w:val="fi-FI"/>
        </w:rPr>
        <w:t>Dz.U</w:t>
      </w:r>
      <w:proofErr w:type="spellEnd"/>
      <w:r w:rsidR="00112F40" w:rsidRPr="006D099F">
        <w:rPr>
          <w:sz w:val="24"/>
          <w:lang w:val="fi-FI"/>
        </w:rPr>
        <w:t>. L</w:t>
      </w:r>
      <w:r w:rsidRPr="00D2023E">
        <w:rPr>
          <w:sz w:val="24"/>
          <w:szCs w:val="24"/>
          <w:lang w:val="fi-FI"/>
        </w:rPr>
        <w:t xml:space="preserve">, 2024/2509, 26.9.2024, ELI: </w:t>
      </w:r>
      <w:r w:rsidRPr="00D2023E">
        <w:rPr>
          <w:color w:val="221E1F"/>
          <w:sz w:val="24"/>
          <w:szCs w:val="24"/>
          <w:lang w:val="fi-FI"/>
        </w:rPr>
        <w:t>http://data.europa.eu/eli/reg/2024/2509/oj</w:t>
      </w:r>
      <w:r w:rsidRPr="00D2023E">
        <w:rPr>
          <w:sz w:val="24"/>
          <w:szCs w:val="24"/>
          <w:lang w:val="fi-FI"/>
        </w:rPr>
        <w:t>.</w:t>
      </w:r>
    </w:p>
  </w:footnote>
  <w:footnote w:id="3">
    <w:p w:rsidR="006E59E0" w:rsidRPr="00F85CDD" w:rsidRDefault="006E59E0" w:rsidP="002D7969">
      <w:pPr>
        <w:pStyle w:val="FootnoteText"/>
        <w:ind w:left="567" w:hanging="567"/>
        <w:rPr>
          <w:sz w:val="24"/>
          <w:lang w:val="fi-FI"/>
        </w:rPr>
      </w:pPr>
      <w:r w:rsidRPr="002D7969">
        <w:rPr>
          <w:rStyle w:val="FootnoteReference"/>
          <w:sz w:val="24"/>
          <w:lang w:val="pl-PL"/>
        </w:rPr>
        <w:footnoteRef/>
      </w:r>
      <w:r w:rsidR="002D7969" w:rsidRPr="00F85CDD">
        <w:rPr>
          <w:sz w:val="24"/>
          <w:lang w:val="fi-FI"/>
        </w:rPr>
        <w:t xml:space="preserve"> </w:t>
      </w:r>
      <w:r w:rsidR="002D7969" w:rsidRPr="00F85CDD">
        <w:rPr>
          <w:sz w:val="24"/>
          <w:lang w:val="fi-FI"/>
        </w:rPr>
        <w:tab/>
      </w:r>
      <w:r w:rsidRPr="00F85CDD">
        <w:rPr>
          <w:sz w:val="24"/>
          <w:lang w:val="fi-FI"/>
        </w:rPr>
        <w:t>Dz.U. L</w:t>
      </w:r>
      <w:r w:rsidR="00F85CDD" w:rsidRPr="00F85CDD">
        <w:rPr>
          <w:sz w:val="24"/>
          <w:lang w:val="fi-FI"/>
        </w:rPr>
        <w:t>,</w:t>
      </w:r>
      <w:r w:rsidRPr="00F85CDD">
        <w:rPr>
          <w:sz w:val="24"/>
          <w:lang w:val="fi-FI"/>
        </w:rPr>
        <w:t xml:space="preserve"> 2024/207</w:t>
      </w:r>
      <w:r w:rsidR="00F85CDD" w:rsidRPr="00F85CDD">
        <w:rPr>
          <w:sz w:val="24"/>
          <w:lang w:val="fi-FI"/>
        </w:rPr>
        <w:t>,</w:t>
      </w:r>
      <w:r w:rsidRPr="00F85CDD">
        <w:rPr>
          <w:sz w:val="24"/>
          <w:lang w:val="fi-FI"/>
        </w:rPr>
        <w:t xml:space="preserve"> </w:t>
      </w:r>
      <w:bookmarkStart w:id="8" w:name="_GoBack"/>
      <w:bookmarkEnd w:id="8"/>
      <w:r w:rsidRPr="00F85CDD">
        <w:rPr>
          <w:sz w:val="24"/>
          <w:lang w:val="fi-FI"/>
        </w:rPr>
        <w:t xml:space="preserve">22.2.2024, ELI: </w:t>
      </w:r>
      <w:hyperlink r:id="rId2" w:history="1">
        <w:r w:rsidRPr="00F85CDD">
          <w:rPr>
            <w:rStyle w:val="Hyperlink"/>
            <w:sz w:val="24"/>
            <w:lang w:val="fi-FI"/>
          </w:rPr>
          <w:t>http://data.europa.eu/eli/budget/2024/207/oj</w:t>
        </w:r>
      </w:hyperlink>
      <w:r w:rsidRPr="00F85CDD">
        <w:rPr>
          <w:sz w:val="24"/>
          <w:lang w:val="fi-FI"/>
        </w:rPr>
        <w:t>.</w:t>
      </w:r>
    </w:p>
  </w:footnote>
  <w:footnote w:id="4">
    <w:p w:rsidR="006E59E0" w:rsidRPr="002D7969" w:rsidRDefault="006E59E0" w:rsidP="002D7969">
      <w:pPr>
        <w:pStyle w:val="FootnoteText"/>
        <w:ind w:left="567" w:hanging="567"/>
        <w:rPr>
          <w:sz w:val="24"/>
          <w:lang w:val="pl-PL"/>
        </w:rPr>
      </w:pPr>
      <w:r w:rsidRPr="002D7969">
        <w:rPr>
          <w:rStyle w:val="FootnoteReference"/>
          <w:sz w:val="24"/>
          <w:lang w:val="pl-PL"/>
        </w:rPr>
        <w:footnoteRef/>
      </w:r>
      <w:r w:rsidR="002D7969" w:rsidRPr="002D7969">
        <w:rPr>
          <w:sz w:val="24"/>
          <w:lang w:val="pl-PL"/>
        </w:rPr>
        <w:t xml:space="preserve"> </w:t>
      </w:r>
      <w:r w:rsidR="002D7969" w:rsidRPr="002D7969">
        <w:rPr>
          <w:sz w:val="24"/>
          <w:lang w:val="pl-PL"/>
        </w:rPr>
        <w:tab/>
      </w:r>
      <w:r w:rsidRPr="002D7969">
        <w:rPr>
          <w:sz w:val="24"/>
          <w:lang w:val="pl-PL"/>
        </w:rPr>
        <w:t xml:space="preserve">Dz.U. L 433 I z 22.12.2020, </w:t>
      </w:r>
      <w:proofErr w:type="gramStart"/>
      <w:r w:rsidRPr="002D7969">
        <w:rPr>
          <w:sz w:val="24"/>
          <w:lang w:val="pl-PL"/>
        </w:rPr>
        <w:t>s</w:t>
      </w:r>
      <w:proofErr w:type="gramEnd"/>
      <w:r w:rsidRPr="002D7969">
        <w:rPr>
          <w:sz w:val="24"/>
          <w:lang w:val="pl-PL"/>
        </w:rPr>
        <w:t xml:space="preserve">. 11, ELI: </w:t>
      </w:r>
      <w:hyperlink r:id="rId3" w:history="1">
        <w:r w:rsidRPr="002D7969">
          <w:rPr>
            <w:rStyle w:val="Hyperlink"/>
            <w:sz w:val="24"/>
            <w:lang w:val="pl-PL"/>
          </w:rPr>
          <w:t>http://data.europa.eu/eli/reg/2020/2093/oj</w:t>
        </w:r>
      </w:hyperlink>
      <w:r w:rsidRPr="002D7969">
        <w:rPr>
          <w:sz w:val="24"/>
          <w:lang w:val="pl-PL"/>
        </w:rPr>
        <w:t>.</w:t>
      </w:r>
    </w:p>
  </w:footnote>
  <w:footnote w:id="5">
    <w:p w:rsidR="006E59E0" w:rsidRPr="002D7969" w:rsidRDefault="006E59E0" w:rsidP="002D7969">
      <w:pPr>
        <w:pStyle w:val="FootnoteText"/>
        <w:ind w:left="567" w:hanging="567"/>
        <w:rPr>
          <w:sz w:val="24"/>
          <w:lang w:val="pl-PL"/>
        </w:rPr>
      </w:pPr>
      <w:r w:rsidRPr="002D7969">
        <w:rPr>
          <w:rStyle w:val="FootnoteReference"/>
          <w:sz w:val="24"/>
          <w:lang w:val="pl-PL"/>
        </w:rPr>
        <w:footnoteRef/>
      </w:r>
      <w:r w:rsidR="002D7969" w:rsidRPr="002D7969">
        <w:rPr>
          <w:sz w:val="24"/>
          <w:lang w:val="pl-PL"/>
        </w:rPr>
        <w:t xml:space="preserve"> </w:t>
      </w:r>
      <w:r w:rsidR="002D7969" w:rsidRPr="002D7969">
        <w:rPr>
          <w:sz w:val="24"/>
          <w:lang w:val="pl-PL"/>
        </w:rPr>
        <w:tab/>
      </w:r>
      <w:r w:rsidRPr="002D7969">
        <w:rPr>
          <w:sz w:val="24"/>
          <w:lang w:val="pl-PL"/>
        </w:rPr>
        <w:t xml:space="preserve">Dz.U. L 433 I z 22.12.2020, </w:t>
      </w:r>
      <w:proofErr w:type="gramStart"/>
      <w:r w:rsidRPr="002D7969">
        <w:rPr>
          <w:sz w:val="24"/>
          <w:lang w:val="pl-PL"/>
        </w:rPr>
        <w:t>s</w:t>
      </w:r>
      <w:proofErr w:type="gramEnd"/>
      <w:r w:rsidRPr="002D7969">
        <w:rPr>
          <w:sz w:val="24"/>
          <w:lang w:val="pl-PL"/>
        </w:rPr>
        <w:t xml:space="preserve">. 28, ELI: </w:t>
      </w:r>
      <w:hyperlink r:id="rId4" w:history="1">
        <w:r w:rsidRPr="002D7969">
          <w:rPr>
            <w:rStyle w:val="Hyperlink"/>
            <w:sz w:val="24"/>
            <w:lang w:val="pl-PL"/>
          </w:rPr>
          <w:t>http://data.europa.eu/eli/agree_interinstit/2020/1222/oj</w:t>
        </w:r>
      </w:hyperlink>
      <w:r w:rsidRPr="002D7969">
        <w:rPr>
          <w:sz w:val="24"/>
          <w:lang w:val="pl-PL"/>
        </w:rPr>
        <w:t>.</w:t>
      </w:r>
    </w:p>
  </w:footnote>
  <w:footnote w:id="6">
    <w:p w:rsidR="006E59E0" w:rsidRPr="002D7969" w:rsidRDefault="006E59E0" w:rsidP="002D7969">
      <w:pPr>
        <w:pStyle w:val="FootnoteText"/>
        <w:ind w:left="567" w:hanging="567"/>
        <w:rPr>
          <w:sz w:val="24"/>
          <w:lang w:val="pl-PL"/>
        </w:rPr>
      </w:pPr>
      <w:r w:rsidRPr="002D7969">
        <w:rPr>
          <w:rStyle w:val="FootnoteReference"/>
          <w:sz w:val="24"/>
          <w:lang w:val="pl-PL"/>
        </w:rPr>
        <w:footnoteRef/>
      </w:r>
      <w:r w:rsidR="002D7969" w:rsidRPr="002D7969">
        <w:rPr>
          <w:sz w:val="24"/>
          <w:lang w:val="pl-PL"/>
        </w:rPr>
        <w:t xml:space="preserve"> </w:t>
      </w:r>
      <w:r w:rsidR="002D7969" w:rsidRPr="002D7969">
        <w:rPr>
          <w:sz w:val="24"/>
          <w:lang w:val="pl-PL"/>
        </w:rPr>
        <w:tab/>
      </w:r>
      <w:r w:rsidRPr="002D7969">
        <w:rPr>
          <w:sz w:val="24"/>
          <w:lang w:val="pl-PL"/>
        </w:rPr>
        <w:t xml:space="preserve">Dz.U. L 424 z 15.12.2020, </w:t>
      </w:r>
      <w:proofErr w:type="gramStart"/>
      <w:r w:rsidRPr="002D7969">
        <w:rPr>
          <w:sz w:val="24"/>
          <w:lang w:val="pl-PL"/>
        </w:rPr>
        <w:t>s</w:t>
      </w:r>
      <w:proofErr w:type="gramEnd"/>
      <w:r w:rsidRPr="002D7969">
        <w:rPr>
          <w:sz w:val="24"/>
          <w:lang w:val="pl-PL"/>
        </w:rPr>
        <w:t>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9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9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9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i-FI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4"/>
    <w:docVar w:name="dvlangue" w:val="PL"/>
    <w:docVar w:name="dvnumam" w:val="0"/>
    <w:docVar w:name="dvpe" w:val="763.033"/>
    <w:docVar w:name="dvrapporteur" w:val="Sprawozdawca: "/>
    <w:docVar w:name="dvtitre" w:val="Rezolucja Parlamentu Europejskiego z dnia  2024 r. w sprawie stanowiska Rady dotyczącego projektu budżetu korygującego nr 2/2024 Unii Europejskiej na rok budżetowy 2024 – zapisanie nadwyżki z roku budżetowego 2023(12081/2024 – C10-0107/2024 – 2024/0089(BUD))"/>
  </w:docVars>
  <w:rsids>
    <w:rsidRoot w:val="000A5601"/>
    <w:rsid w:val="00002272"/>
    <w:rsid w:val="00064002"/>
    <w:rsid w:val="000677B9"/>
    <w:rsid w:val="000831BA"/>
    <w:rsid w:val="000A42CC"/>
    <w:rsid w:val="000A5601"/>
    <w:rsid w:val="000E7DD9"/>
    <w:rsid w:val="0010095E"/>
    <w:rsid w:val="00112F40"/>
    <w:rsid w:val="00125B37"/>
    <w:rsid w:val="00187494"/>
    <w:rsid w:val="001F32AE"/>
    <w:rsid w:val="002767FF"/>
    <w:rsid w:val="002B18FE"/>
    <w:rsid w:val="002B5493"/>
    <w:rsid w:val="002D7969"/>
    <w:rsid w:val="00343214"/>
    <w:rsid w:val="00361C00"/>
    <w:rsid w:val="0036649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099F"/>
    <w:rsid w:val="006E59E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CD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EBB9E4"/>
  <w15:chartTrackingRefBased/>
  <w15:docId w15:val="{07B27E1A-5B24-423C-8908-F554A58C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E59E0"/>
    <w:pPr>
      <w:spacing w:before="480" w:after="240"/>
    </w:pPr>
  </w:style>
  <w:style w:type="paragraph" w:customStyle="1" w:styleId="NormalHanging12a">
    <w:name w:val="NormalHanging12a"/>
    <w:basedOn w:val="Normal"/>
    <w:rsid w:val="006E59E0"/>
    <w:pPr>
      <w:spacing w:after="240"/>
      <w:ind w:left="567" w:hanging="567"/>
    </w:pPr>
  </w:style>
  <w:style w:type="character" w:styleId="Hyperlink">
    <w:name w:val="Hyperlink"/>
    <w:basedOn w:val="DefaultParagraphFont"/>
    <w:rsid w:val="006E59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4/207/oj" TargetMode="External"/><Relationship Id="rId1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7AD5B-DA82-439F-A7C2-58852D6AD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959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3</cp:revision>
  <cp:lastPrinted>2004-11-19T15:42:00Z</cp:lastPrinted>
  <dcterms:created xsi:type="dcterms:W3CDTF">2024-10-22T10:30:00Z</dcterms:created>
  <dcterms:modified xsi:type="dcterms:W3CDTF">2024-11-22T09:59:00Z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P10_TA(2024)0023_</vt:lpwstr>
  </property>
  <property fmtid="{D5CDD505-2E9C-101B-9397-08002B2CF9AE}" pid="4" name="&lt;Type&gt;">
    <vt:lpwstr>RR</vt:lpwstr>
  </property>
</Properties>
</file>