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0378" w:rsidTr="0010095E">
        <w:trPr>
          <w:trHeight w:hRule="exact" w:val="1418"/>
        </w:trPr>
        <w:tc>
          <w:tcPr>
            <w:tcW w:w="6804" w:type="dxa"/>
            <w:shd w:val="clear" w:color="auto" w:fill="auto"/>
            <w:vAlign w:val="center"/>
          </w:tcPr>
          <w:p w:rsidR="00751A4A" w:rsidRPr="007A0378" w:rsidRDefault="00A205DE" w:rsidP="0010095E">
            <w:pPr>
              <w:pStyle w:val="EPName"/>
            </w:pPr>
            <w:r w:rsidRPr="007A0378">
              <w:t>Parlamentul European</w:t>
            </w:r>
          </w:p>
          <w:p w:rsidR="00751A4A" w:rsidRPr="007A0378" w:rsidRDefault="005F1B17" w:rsidP="005F1B17">
            <w:pPr>
              <w:pStyle w:val="EPTerm"/>
              <w:rPr>
                <w:rStyle w:val="HideTWBExt"/>
                <w:noProof w:val="0"/>
                <w:vanish w:val="0"/>
                <w:color w:val="auto"/>
              </w:rPr>
            </w:pPr>
            <w:r w:rsidRPr="007A0378">
              <w:t>2024</w:t>
            </w:r>
            <w:r w:rsidR="00817416" w:rsidRPr="007A0378">
              <w:t>-202</w:t>
            </w:r>
            <w:r w:rsidRPr="007A0378">
              <w:t>9</w:t>
            </w:r>
          </w:p>
        </w:tc>
        <w:tc>
          <w:tcPr>
            <w:tcW w:w="2268" w:type="dxa"/>
            <w:shd w:val="clear" w:color="auto" w:fill="auto"/>
          </w:tcPr>
          <w:p w:rsidR="00751A4A" w:rsidRPr="007A0378" w:rsidRDefault="00187494" w:rsidP="0010095E">
            <w:pPr>
              <w:pStyle w:val="EPLogo"/>
            </w:pPr>
            <w:r w:rsidRPr="007A037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A0378" w:rsidRDefault="00D058B8" w:rsidP="004C5D52">
      <w:pPr>
        <w:pStyle w:val="LineTop"/>
      </w:pPr>
    </w:p>
    <w:p w:rsidR="00680577" w:rsidRPr="007A0378" w:rsidRDefault="00A205DE" w:rsidP="00680577">
      <w:pPr>
        <w:pStyle w:val="EPBodyTA1"/>
      </w:pPr>
      <w:r w:rsidRPr="007A0378">
        <w:t>TEXTE ADOPTATE</w:t>
      </w:r>
    </w:p>
    <w:p w:rsidR="00D058B8" w:rsidRPr="007A0378" w:rsidRDefault="00D058B8" w:rsidP="00D058B8">
      <w:pPr>
        <w:pStyle w:val="LineBottom"/>
      </w:pPr>
    </w:p>
    <w:p w:rsidR="00A205DE" w:rsidRPr="007A0378" w:rsidRDefault="00A205DE" w:rsidP="00A205DE">
      <w:pPr>
        <w:pStyle w:val="ATHeading1"/>
      </w:pPr>
      <w:bookmarkStart w:id="0" w:name="TANumber"/>
      <w:r w:rsidRPr="007A0378">
        <w:t>P10_TA(2024)</w:t>
      </w:r>
      <w:bookmarkEnd w:id="0"/>
      <w:r w:rsidR="000A1077" w:rsidRPr="007A0378">
        <w:t>00</w:t>
      </w:r>
      <w:r w:rsidR="000A1077">
        <w:t>23</w:t>
      </w:r>
    </w:p>
    <w:p w:rsidR="00A205DE" w:rsidRPr="007A0378" w:rsidRDefault="00A205DE" w:rsidP="00A205DE">
      <w:pPr>
        <w:pStyle w:val="ATHeading2"/>
      </w:pPr>
      <w:bookmarkStart w:id="1" w:name="title"/>
      <w:r w:rsidRPr="007A0378">
        <w:t xml:space="preserve">Proiect de buget rectificativ nr. 2/2024: </w:t>
      </w:r>
      <w:r w:rsidR="00F449D3">
        <w:t>î</w:t>
      </w:r>
      <w:r w:rsidRPr="007A0378">
        <w:t>nregistrarea excedentului aferent exercițiului financiar 2023</w:t>
      </w:r>
      <w:bookmarkEnd w:id="1"/>
    </w:p>
    <w:p w:rsidR="00A205DE" w:rsidRPr="007A0378" w:rsidRDefault="00A205DE" w:rsidP="00A205DE">
      <w:pPr>
        <w:rPr>
          <w:i/>
          <w:vanish/>
        </w:rPr>
      </w:pPr>
      <w:r w:rsidRPr="007A0378">
        <w:rPr>
          <w:i/>
        </w:rPr>
        <w:fldChar w:fldCharType="begin"/>
      </w:r>
      <w:r w:rsidRPr="007A0378">
        <w:rPr>
          <w:i/>
        </w:rPr>
        <w:instrText xml:space="preserve"> TC"(</w:instrText>
      </w:r>
      <w:bookmarkStart w:id="2" w:name="DocNumber"/>
      <w:r w:rsidRPr="007A0378">
        <w:rPr>
          <w:i/>
        </w:rPr>
        <w:instrText>A10-0005/2024</w:instrText>
      </w:r>
      <w:bookmarkEnd w:id="2"/>
      <w:r w:rsidRPr="007A0378">
        <w:rPr>
          <w:i/>
        </w:rPr>
        <w:instrText xml:space="preserve"> - Raportor: Siegfried Mureșan)"\l3 \n&gt; \* MERGEFORMAT </w:instrText>
      </w:r>
      <w:r w:rsidRPr="007A0378">
        <w:rPr>
          <w:i/>
        </w:rPr>
        <w:fldChar w:fldCharType="end"/>
      </w:r>
    </w:p>
    <w:p w:rsidR="00A205DE" w:rsidRPr="007A0378" w:rsidRDefault="00A205DE" w:rsidP="00A205DE">
      <w:pPr>
        <w:rPr>
          <w:vanish/>
        </w:rPr>
      </w:pPr>
      <w:bookmarkStart w:id="3" w:name="Commission"/>
      <w:r w:rsidRPr="007A0378">
        <w:rPr>
          <w:vanish/>
        </w:rPr>
        <w:t>Comisia pentru bugete</w:t>
      </w:r>
      <w:bookmarkEnd w:id="3"/>
    </w:p>
    <w:p w:rsidR="00A205DE" w:rsidRPr="007A0378" w:rsidRDefault="00A205DE" w:rsidP="00A205DE">
      <w:pPr>
        <w:rPr>
          <w:vanish/>
        </w:rPr>
      </w:pPr>
      <w:bookmarkStart w:id="4" w:name="PE"/>
      <w:r w:rsidRPr="007A0378">
        <w:rPr>
          <w:vanish/>
        </w:rPr>
        <w:t>PE763.033</w:t>
      </w:r>
      <w:bookmarkEnd w:id="4"/>
    </w:p>
    <w:p w:rsidR="00A205DE" w:rsidRPr="007A0378" w:rsidRDefault="00A205DE" w:rsidP="00A205DE">
      <w:pPr>
        <w:pStyle w:val="ATHeading3"/>
      </w:pPr>
      <w:bookmarkStart w:id="5" w:name="Sujet"/>
      <w:r w:rsidRPr="007A0378">
        <w:t xml:space="preserve">Rezoluția Parlamentului European din </w:t>
      </w:r>
      <w:r w:rsidR="0035558B">
        <w:t>22</w:t>
      </w:r>
      <w:r w:rsidRPr="007A0378">
        <w:t xml:space="preserve"> octombrie 2024 referitoare la poziția Consiliului privind proiectul de buget rectificativ nr. 2/2024 al Uniunii Europene pentru exercițiul financiar 2024, de înregistrare a excedentului aferent exercițiului financiar 2023</w:t>
      </w:r>
      <w:bookmarkEnd w:id="5"/>
      <w:r w:rsidRPr="007A0378">
        <w:t xml:space="preserve"> </w:t>
      </w:r>
      <w:bookmarkStart w:id="6" w:name="References"/>
      <w:r w:rsidRPr="007A0378">
        <w:t>(12081/2024 – C10-0107/2024 – 2024/0089(BUD))</w:t>
      </w:r>
      <w:bookmarkEnd w:id="6"/>
    </w:p>
    <w:p w:rsidR="00820557" w:rsidRPr="007A0378" w:rsidRDefault="00820557" w:rsidP="00820557">
      <w:pPr>
        <w:pStyle w:val="EPComma"/>
      </w:pPr>
      <w:bookmarkStart w:id="7" w:name="TextBodyBegin"/>
      <w:bookmarkEnd w:id="7"/>
      <w:r w:rsidRPr="007A0378">
        <w:rPr>
          <w:i/>
          <w:iCs/>
        </w:rPr>
        <w:t>Parlamentul European</w:t>
      </w:r>
      <w:r w:rsidRPr="007A0378">
        <w:t>,</w:t>
      </w:r>
    </w:p>
    <w:p w:rsidR="00820557" w:rsidRPr="007A0378" w:rsidRDefault="00820557" w:rsidP="00820557">
      <w:pPr>
        <w:pStyle w:val="NormalHanging12a"/>
      </w:pPr>
      <w:r w:rsidRPr="007A0378">
        <w:t>–</w:t>
      </w:r>
      <w:r w:rsidRPr="007A0378">
        <w:tab/>
        <w:t>având în vedere articolul 314 din Tratatul privind funcționarea Uniunii Europene,</w:t>
      </w:r>
    </w:p>
    <w:p w:rsidR="00820557" w:rsidRPr="007A0378" w:rsidRDefault="00820557" w:rsidP="00820557">
      <w:pPr>
        <w:pStyle w:val="NormalHanging12a"/>
      </w:pPr>
      <w:r w:rsidRPr="007A0378">
        <w:t>–</w:t>
      </w:r>
      <w:r w:rsidRPr="007A0378">
        <w:tab/>
        <w:t>având în vedere articolul 106a din Tratatul de instituire a Comunității Europene a Energiei Atomice,</w:t>
      </w:r>
    </w:p>
    <w:p w:rsidR="00820557" w:rsidRPr="007A0378" w:rsidRDefault="00820557" w:rsidP="00820557">
      <w:pPr>
        <w:pStyle w:val="NormalHanging12a"/>
      </w:pPr>
      <w:r w:rsidRPr="007A0378">
        <w:t>–</w:t>
      </w:r>
      <w:r w:rsidRPr="007A0378">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7A0378">
        <w:rPr>
          <w:rStyle w:val="FootnoteReference"/>
        </w:rPr>
        <w:footnoteReference w:id="1"/>
      </w:r>
      <w:r w:rsidRPr="007A0378">
        <w:t>, în special articolul 44,</w:t>
      </w:r>
    </w:p>
    <w:p w:rsidR="0035558B" w:rsidRDefault="0035558B" w:rsidP="00820557">
      <w:pPr>
        <w:pStyle w:val="NormalHanging12a"/>
      </w:pPr>
      <w:r w:rsidRPr="007E4667">
        <w:t>–</w:t>
      </w:r>
      <w:r w:rsidRPr="007E4667">
        <w:tab/>
        <w:t>având în vedere Regulamentul (UE, Euratom) 2024/2509 al Parlamentului European și al Consiliului din 23 septembrie 2024 privind normele financiare aplicabile bugetului general al Uniunii</w:t>
      </w:r>
      <w:r w:rsidRPr="007E4667">
        <w:rPr>
          <w:rStyle w:val="FootnoteReference"/>
        </w:rPr>
        <w:footnoteReference w:id="2"/>
      </w:r>
      <w:r w:rsidRPr="007E4667">
        <w:t>, în special articol</w:t>
      </w:r>
      <w:r>
        <w:t>ul 44</w:t>
      </w:r>
      <w:r w:rsidRPr="007E4667">
        <w:t>,</w:t>
      </w:r>
    </w:p>
    <w:p w:rsidR="00820557" w:rsidRPr="007A0378" w:rsidRDefault="00820557" w:rsidP="00820557">
      <w:pPr>
        <w:pStyle w:val="NormalHanging12a"/>
      </w:pPr>
      <w:r w:rsidRPr="007A0378">
        <w:t>–</w:t>
      </w:r>
      <w:r w:rsidRPr="007A0378">
        <w:tab/>
        <w:t>având în vedere bugetul general al Uniunii Europene pentru exercițiul financiar 2024, adoptat definitiv la 22 noiembrie 2023</w:t>
      </w:r>
      <w:r w:rsidRPr="007A0378">
        <w:rPr>
          <w:rStyle w:val="FootnoteReference"/>
        </w:rPr>
        <w:footnoteReference w:id="3"/>
      </w:r>
      <w:r w:rsidRPr="007A0378">
        <w:t>,</w:t>
      </w:r>
    </w:p>
    <w:p w:rsidR="00820557" w:rsidRPr="007A0378" w:rsidRDefault="00820557" w:rsidP="00820557">
      <w:pPr>
        <w:pStyle w:val="NormalHanging12a"/>
      </w:pPr>
      <w:r w:rsidRPr="007A0378">
        <w:t>–</w:t>
      </w:r>
      <w:r w:rsidRPr="007A0378">
        <w:tab/>
        <w:t>având în vedere Regulamentul (UE, Euratom) 2020/2093 al Consiliului din 17 decembrie 2020 de stabilire a cadrului financiar multianual pentru perioada 2021-</w:t>
      </w:r>
      <w:r w:rsidRPr="007A0378">
        <w:lastRenderedPageBreak/>
        <w:t>2027</w:t>
      </w:r>
      <w:r w:rsidRPr="007A0378">
        <w:rPr>
          <w:rStyle w:val="FootnoteReference"/>
        </w:rPr>
        <w:footnoteReference w:id="4"/>
      </w:r>
      <w:r w:rsidRPr="007A0378">
        <w:t>,</w:t>
      </w:r>
    </w:p>
    <w:p w:rsidR="00820557" w:rsidRPr="007A0378" w:rsidRDefault="00820557" w:rsidP="00820557">
      <w:pPr>
        <w:pStyle w:val="NormalHanging12a"/>
      </w:pPr>
      <w:r w:rsidRPr="007A0378">
        <w:t>–</w:t>
      </w:r>
      <w:r w:rsidRPr="007A0378">
        <w:tab/>
        <w:t>având în vedere Acordul interinstituțional din 16 decembrie 2020 dintre Parlamentul European, Consiliul Uniunii Europene și Comisia Europeană privind disciplina bugetară, cooperarea în chestiuni bugetare și buna gestiune financiară, precum și privind noile resurse proprii, inclusiv o foaie de parcurs în vederea introducerii de noi resurse proprii</w:t>
      </w:r>
      <w:r w:rsidRPr="007A0378">
        <w:rPr>
          <w:rStyle w:val="FootnoteReference"/>
        </w:rPr>
        <w:footnoteReference w:id="5"/>
      </w:r>
      <w:r w:rsidRPr="007A0378">
        <w:t>,</w:t>
      </w:r>
    </w:p>
    <w:p w:rsidR="00820557" w:rsidRPr="007A0378" w:rsidRDefault="00820557" w:rsidP="00820557">
      <w:pPr>
        <w:pStyle w:val="NormalHanging12a"/>
      </w:pPr>
      <w:r w:rsidRPr="007A0378">
        <w:t>–</w:t>
      </w:r>
      <w:r w:rsidRPr="007A0378">
        <w:tab/>
        <w:t>având în vedere Decizia (UE, Euratom) 2020/2053 a Consiliului din 14 decembrie 2020 privind sistemul de resurse proprii ale Uniunii Europene și de abrogare a Deciziei 2014/335/UE, Euratom</w:t>
      </w:r>
      <w:r w:rsidRPr="007A0378">
        <w:rPr>
          <w:rStyle w:val="FootnoteReference"/>
        </w:rPr>
        <w:footnoteReference w:id="6"/>
      </w:r>
      <w:r w:rsidRPr="007A0378">
        <w:t>,</w:t>
      </w:r>
    </w:p>
    <w:p w:rsidR="00820557" w:rsidRPr="007A0378" w:rsidRDefault="00820557" w:rsidP="00820557">
      <w:pPr>
        <w:pStyle w:val="NormalHanging12a"/>
      </w:pPr>
      <w:r w:rsidRPr="007A0378">
        <w:t>–</w:t>
      </w:r>
      <w:r w:rsidRPr="007A0378">
        <w:tab/>
        <w:t>având în vedere proiectul de buget rectificativ nr. 2/2024 adoptat de Comisie la 9 aprilie 2024 (COM(2024)0920),</w:t>
      </w:r>
    </w:p>
    <w:p w:rsidR="00820557" w:rsidRPr="007A0378" w:rsidRDefault="00820557" w:rsidP="00820557">
      <w:pPr>
        <w:pStyle w:val="NormalHanging12a"/>
      </w:pPr>
      <w:r w:rsidRPr="007A0378">
        <w:t>–</w:t>
      </w:r>
      <w:r w:rsidRPr="007A0378">
        <w:tab/>
        <w:t>având în vedere poziția privind proiectul de buget rectificativ nr. 2/2024 adoptată de Consiliu la 13 septembrie 2024 și transmisă Parlamentului European la 16 septembrie 2024 (12081/2024 – C10</w:t>
      </w:r>
      <w:r w:rsidRPr="007A0378">
        <w:noBreakHyphen/>
        <w:t>0107/2024),</w:t>
      </w:r>
    </w:p>
    <w:p w:rsidR="00820557" w:rsidRPr="007A0378" w:rsidRDefault="00820557" w:rsidP="00820557">
      <w:pPr>
        <w:pStyle w:val="NormalHanging12a"/>
      </w:pPr>
      <w:r w:rsidRPr="007A0378">
        <w:t>–</w:t>
      </w:r>
      <w:r w:rsidRPr="007A0378">
        <w:tab/>
        <w:t xml:space="preserve">având în vedere articolele 96 și 98 din Regulamentul său de procedură, </w:t>
      </w:r>
    </w:p>
    <w:p w:rsidR="00820557" w:rsidRPr="007A0378" w:rsidRDefault="00820557" w:rsidP="00820557">
      <w:pPr>
        <w:pStyle w:val="NormalHanging12a"/>
      </w:pPr>
      <w:r w:rsidRPr="007A0378">
        <w:t>–</w:t>
      </w:r>
      <w:r w:rsidRPr="007A0378">
        <w:tab/>
        <w:t>având în vedere raportul Comisiei pentru bugete (A10-0005/2024),</w:t>
      </w:r>
    </w:p>
    <w:p w:rsidR="00820557" w:rsidRPr="007A0378" w:rsidRDefault="00820557" w:rsidP="00820557">
      <w:pPr>
        <w:pStyle w:val="NormalHanging12a"/>
      </w:pPr>
      <w:r w:rsidRPr="007A0378">
        <w:t>A.</w:t>
      </w:r>
      <w:r w:rsidRPr="007A0378">
        <w:tab/>
        <w:t>întrucât proiectul de buget rectificativ nr. 2/2024 are ca obiectiv înscrierea în bugetul pe 2024 a excedentului din exercițiul financiar 2023, care se ridică la 633 de milioane EUR;</w:t>
      </w:r>
    </w:p>
    <w:p w:rsidR="00820557" w:rsidRPr="007A0378" w:rsidRDefault="00820557" w:rsidP="00820557">
      <w:pPr>
        <w:pStyle w:val="NormalHanging12a"/>
      </w:pPr>
      <w:r w:rsidRPr="007A0378">
        <w:t>B.</w:t>
      </w:r>
      <w:r w:rsidRPr="007A0378">
        <w:tab/>
        <w:t>întrucât principalele elemente ale acestui excedent sunt un sold pozitiv al veniturilor de 238,7 milioane EUR și o subutilizare a cheltuielilor de 393,9 milioane EUR;</w:t>
      </w:r>
    </w:p>
    <w:p w:rsidR="00820557" w:rsidRPr="007A0378" w:rsidRDefault="00820557" w:rsidP="00820557">
      <w:pPr>
        <w:pStyle w:val="NormalHanging12a"/>
      </w:pPr>
      <w:r w:rsidRPr="007A0378">
        <w:t>C.</w:t>
      </w:r>
      <w:r w:rsidRPr="007A0378">
        <w:tab/>
        <w:t>întrucât, în ceea ce privește veniturile, principalii factori determinanți pentru volumul excedentului sunt suma de 1 766 de milioane EUR reprezentând venituri financiare, penalități de întârziere și amenzi, față de venituri din taxe vamale în valoare de 1 649 de milioane EUR, sub așteptări; întrucât excedentul de venituri administrative în valoare de 107 milioane EUR se datorează în principal unei rate a contribuțiilor la sistemul de pensii mai ridicate decât se prevăzuse și aplicării unei actualizări salariale intermediare în ianuarie 2023, care a dus la creșterea nivelului impozitelor și taxelor și al contribuțiilor la sistemul de pensii;</w:t>
      </w:r>
    </w:p>
    <w:p w:rsidR="00820557" w:rsidRPr="007A0378" w:rsidRDefault="00820557" w:rsidP="00820557">
      <w:pPr>
        <w:pStyle w:val="NormalHanging12a"/>
      </w:pPr>
      <w:r w:rsidRPr="007A0378">
        <w:t>D.</w:t>
      </w:r>
      <w:r w:rsidRPr="007A0378">
        <w:tab/>
        <w:t>întrucât, în ceea ce privește cheltuielile, subutilizarea creditelor de plată de către Comisie s-a ridicat la 70 de milioane EUR (0,1 % din creditele de plată autorizate); întrucât celelalte instituții au anulat plăți în valoare de 48 de milioane EUR, menținând astfel rata scăzută de subutilizare din bugetul pe 2022;</w:t>
      </w:r>
    </w:p>
    <w:p w:rsidR="00820557" w:rsidRPr="007A0378" w:rsidRDefault="00820557" w:rsidP="00086B20">
      <w:pPr>
        <w:widowControl/>
        <w:spacing w:after="240"/>
        <w:ind w:left="567" w:hanging="567"/>
      </w:pPr>
      <w:r w:rsidRPr="007A0378">
        <w:t>E.</w:t>
      </w:r>
      <w:r w:rsidRPr="007A0378">
        <w:tab/>
        <w:t xml:space="preserve">întrucât, prin proiectul de buget rectificativ nr. 2/2024, reducerile forfetare anuale bazate pe VNB de care beneficiază Germania, Țările de Jos, Danemarca, Suedia și Austria se ridică la aproximativ 5,4 miliarde EUR net; </w:t>
      </w:r>
    </w:p>
    <w:p w:rsidR="00820557" w:rsidRPr="007A0378" w:rsidRDefault="00820557" w:rsidP="00086B20">
      <w:pPr>
        <w:pStyle w:val="NormalHanging12a"/>
        <w:rPr>
          <w:szCs w:val="24"/>
        </w:rPr>
      </w:pPr>
      <w:r w:rsidRPr="007A0378">
        <w:lastRenderedPageBreak/>
        <w:t>F.</w:t>
      </w:r>
      <w:r w:rsidRPr="007A0378">
        <w:tab/>
        <w:t>întrucât marjele și flexibilitatea bugetului Uniunii rămân foarte limitate, în pofida revizuirii cadrului financiar multianual (CFM) și a introducerii noului instrument EURI pentru a acoperi creșterea costurilor îndatorării pentru Instrumentul de redresare al Uniunii Europene, care sunt inerent volatile și presupun un anumit nivel de incertitudine pentru buget; întrucât, în acest context dificil, nevoile bugetare sunt în creștere,</w:t>
      </w:r>
    </w:p>
    <w:p w:rsidR="00820557" w:rsidRPr="007A0378" w:rsidRDefault="00820557" w:rsidP="00820557">
      <w:pPr>
        <w:pStyle w:val="NormalHanging12a"/>
      </w:pPr>
      <w:r w:rsidRPr="007A0378">
        <w:t>1.</w:t>
      </w:r>
      <w:r w:rsidRPr="007A0378">
        <w:tab/>
        <w:t>ia act de proiectul de buget rectificativ nr. 2/2024, astfel cum a fost prezentat de Comisie, consacrat înscrierii în buget a excedentului din 2023, cu suma de 633 de milioane EUR, în conformitate cu articolul 18 alineatul (3) din Regulamentul financiar;</w:t>
      </w:r>
    </w:p>
    <w:p w:rsidR="00820557" w:rsidRPr="007A0378" w:rsidRDefault="00820557" w:rsidP="00820557">
      <w:pPr>
        <w:pStyle w:val="NormalHanging12a"/>
      </w:pPr>
      <w:r w:rsidRPr="007A0378">
        <w:t>2.</w:t>
      </w:r>
      <w:r w:rsidRPr="007A0378">
        <w:tab/>
      </w:r>
      <w:r w:rsidR="00F449D3">
        <w:t>salută faptul</w:t>
      </w:r>
      <w:r w:rsidRPr="007A0378">
        <w:t xml:space="preserve"> că excedentul din 2023 este considerabil mai mic decât excedentul din 2022, ceea ce indică o îmbunătățire a previziunilor bugetare și a gestionării de către Comisie; </w:t>
      </w:r>
    </w:p>
    <w:p w:rsidR="00820557" w:rsidRPr="007A0378" w:rsidRDefault="00820557" w:rsidP="00820557">
      <w:pPr>
        <w:pStyle w:val="NormalHanging12a"/>
      </w:pPr>
      <w:r w:rsidRPr="007A0378">
        <w:t>3.</w:t>
      </w:r>
      <w:r w:rsidRPr="007A0378">
        <w:tab/>
        <w:t>subliniază că excedentul reduce contribuția totală a statelor membre la finanțarea bugetului 2024, într-un moment în care nevoile de finanțare rămân ridicate, iar marjele în cadrul bugetului Uniunii sunt foarte limitate; subliniază că bugetul trebuie să rămână suficient de flexibil pentru a permite Uniunii să facă față evenimentelor neprevăzute și noilor priorități;</w:t>
      </w:r>
    </w:p>
    <w:p w:rsidR="00820557" w:rsidRPr="007A0378" w:rsidRDefault="00820557" w:rsidP="00820557">
      <w:pPr>
        <w:pStyle w:val="NormalHanging12a"/>
      </w:pPr>
      <w:r w:rsidRPr="007A0378">
        <w:t>4.</w:t>
      </w:r>
      <w:r w:rsidRPr="007A0378">
        <w:tab/>
        <w:t>reamintește poziția sa de lungă durată potrivit căreia amenzile și taxele ar trebui utilizate ca venituri suplimentare la bugetul Uniunii și nu ar trebui să conducă la o scădere corespunzătoare a contribuțiilor bazate pe VNB;</w:t>
      </w:r>
    </w:p>
    <w:p w:rsidR="00820557" w:rsidRPr="007A0378" w:rsidRDefault="00820557" w:rsidP="00820557">
      <w:pPr>
        <w:widowControl/>
        <w:spacing w:before="120" w:after="120"/>
        <w:ind w:left="567" w:hanging="567"/>
      </w:pPr>
      <w:r w:rsidRPr="007A0378">
        <w:t>5.</w:t>
      </w:r>
      <w:r w:rsidRPr="007A0378">
        <w:tab/>
        <w:t xml:space="preserve">ia act de calculul reducerilor forfetare anuale ajustate bazate pe VNB pentru cele cinci state membre beneficiare, care se ridică la aproximativ 5,4 miliarde EUR net; subliniază faptul că aceste reduceri sunt corelate cu inflația și, prin urmare, au crescut într-un ritm mai mare decât plafoanele CFM, care sunt ajustate anual pe baza </w:t>
      </w:r>
      <w:proofErr w:type="spellStart"/>
      <w:r w:rsidRPr="007A0378">
        <w:t>deflatorului</w:t>
      </w:r>
      <w:proofErr w:type="spellEnd"/>
      <w:r w:rsidRPr="007A0378">
        <w:t xml:space="preserve"> de 2 %; subliniază că această anomalie accentuează povara asupra celorlalte state membre;</w:t>
      </w:r>
    </w:p>
    <w:p w:rsidR="00820557" w:rsidRPr="007A0378" w:rsidRDefault="00820557" w:rsidP="00820557">
      <w:pPr>
        <w:pStyle w:val="NormalHanging12a"/>
        <w:rPr>
          <w:szCs w:val="24"/>
        </w:rPr>
      </w:pPr>
      <w:r w:rsidRPr="007A0378">
        <w:t>6.</w:t>
      </w:r>
      <w:r w:rsidRPr="007A0378">
        <w:tab/>
        <w:t xml:space="preserve">subliniază că veniturile la bugetul Uniunii trebuie să fie sustenabile; regretă, prin urmare, absența unor progrese la nivelul Consiliului în ceea ce privește reforma sistemului de resurse proprii </w:t>
      </w:r>
      <w:r w:rsidRPr="007A0378">
        <w:rPr>
          <w:color w:val="1E1E1F"/>
          <w:shd w:val="clear" w:color="auto" w:fill="FFFFFF"/>
        </w:rPr>
        <w:t>în conformitate cu foaia de parcurs din Acordul interinstituțional; r</w:t>
      </w:r>
      <w:r w:rsidRPr="007A0378">
        <w:t xml:space="preserve">eamintește </w:t>
      </w:r>
      <w:r w:rsidRPr="007A0378">
        <w:rPr>
          <w:color w:val="1E1E1F"/>
          <w:shd w:val="clear" w:color="auto" w:fill="FFFFFF"/>
        </w:rPr>
        <w:t>poziția sa în sprijinul propunerilor modificate ale Comisiei și î</w:t>
      </w:r>
      <w:r w:rsidRPr="007A0378">
        <w:t>ndeamnă Consiliul să adopte rapid aceste propuneri pentru a majora resursele proprii disponibile pentru bugetul Uniunii;</w:t>
      </w:r>
    </w:p>
    <w:p w:rsidR="00820557" w:rsidRPr="007A0378" w:rsidRDefault="00820557" w:rsidP="00820557">
      <w:pPr>
        <w:pStyle w:val="NormalHanging12a"/>
      </w:pPr>
      <w:r w:rsidRPr="007A0378">
        <w:t>7.</w:t>
      </w:r>
      <w:r w:rsidRPr="007A0378">
        <w:tab/>
        <w:t>aprobă poziția Consiliului privind proiectul de buget rectificativ nr. 2/2024;</w:t>
      </w:r>
    </w:p>
    <w:p w:rsidR="00820557" w:rsidRPr="007A0378" w:rsidRDefault="00820557" w:rsidP="00820557">
      <w:pPr>
        <w:pStyle w:val="NormalHanging12a"/>
      </w:pPr>
      <w:r w:rsidRPr="007A0378">
        <w:t>8.</w:t>
      </w:r>
      <w:r w:rsidRPr="007A0378">
        <w:tab/>
        <w:t xml:space="preserve">încredințează Președintei sarcina de a constata adoptarea definitivă a bugetului rectificativ nr. </w:t>
      </w:r>
      <w:r w:rsidR="0035558B">
        <w:t>3</w:t>
      </w:r>
      <w:r w:rsidRPr="007A0378">
        <w:t xml:space="preserve">/2024 și de a asigura publicarea acestuia în </w:t>
      </w:r>
      <w:r w:rsidRPr="007A0378">
        <w:rPr>
          <w:i/>
          <w:iCs/>
        </w:rPr>
        <w:t>Jurnalul Oficial al Uniunii Europene</w:t>
      </w:r>
      <w:r w:rsidRPr="007A0378">
        <w:t>;</w:t>
      </w:r>
    </w:p>
    <w:p w:rsidR="0035558B" w:rsidRPr="007A0378" w:rsidRDefault="00820557" w:rsidP="00820557">
      <w:pPr>
        <w:pStyle w:val="NormalHanging12a"/>
      </w:pPr>
      <w:r w:rsidRPr="007A0378">
        <w:t>9.</w:t>
      </w:r>
      <w:r w:rsidRPr="007A0378">
        <w:tab/>
        <w:t>încredințează Președintei sarcina de a transmite prezenta rezoluție Consiliului și Comisiei, precum și celorlalte instituții și organelor interesate și parlamentelor naționale.</w:t>
      </w:r>
    </w:p>
    <w:sectPr w:rsidR="0035558B" w:rsidRPr="007A0378" w:rsidSect="007A037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05DE" w:rsidRPr="007A0378" w:rsidRDefault="00A205DE">
      <w:r w:rsidRPr="007A0378">
        <w:separator/>
      </w:r>
    </w:p>
  </w:endnote>
  <w:endnote w:type="continuationSeparator" w:id="0">
    <w:p w:rsidR="00A205DE" w:rsidRPr="007A0378" w:rsidRDefault="00A205DE">
      <w:r w:rsidRPr="007A03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037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037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037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05DE" w:rsidRPr="007A0378" w:rsidRDefault="00A205DE">
      <w:r w:rsidRPr="007A0378">
        <w:separator/>
      </w:r>
    </w:p>
  </w:footnote>
  <w:footnote w:type="continuationSeparator" w:id="0">
    <w:p w:rsidR="00A205DE" w:rsidRPr="007A0378" w:rsidRDefault="00A205DE">
      <w:r w:rsidRPr="007A0378">
        <w:continuationSeparator/>
      </w:r>
    </w:p>
  </w:footnote>
  <w:footnote w:id="1">
    <w:p w:rsidR="00820557" w:rsidRPr="007A0378" w:rsidRDefault="00820557" w:rsidP="007A0378">
      <w:pPr>
        <w:pStyle w:val="FootnoteText"/>
        <w:ind w:left="567" w:hanging="567"/>
        <w:rPr>
          <w:sz w:val="24"/>
          <w:lang w:val="ro-RO"/>
        </w:rPr>
      </w:pPr>
      <w:r w:rsidRPr="007A0378">
        <w:rPr>
          <w:rStyle w:val="FootnoteReference"/>
          <w:sz w:val="24"/>
          <w:lang w:val="ro-RO"/>
        </w:rPr>
        <w:footnoteRef/>
      </w:r>
      <w:r w:rsidR="007A0378" w:rsidRPr="007A0378">
        <w:rPr>
          <w:sz w:val="24"/>
          <w:lang w:val="ro-RO"/>
        </w:rPr>
        <w:t xml:space="preserve"> </w:t>
      </w:r>
      <w:r w:rsidR="007A0378" w:rsidRPr="007A0378">
        <w:rPr>
          <w:sz w:val="24"/>
          <w:lang w:val="ro-RO"/>
        </w:rPr>
        <w:tab/>
      </w:r>
      <w:r w:rsidRPr="007A0378">
        <w:rPr>
          <w:sz w:val="24"/>
          <w:lang w:val="ro-RO"/>
        </w:rPr>
        <w:t xml:space="preserve">JO L 193, 30.7.2018, p. 1, ELI: </w:t>
      </w:r>
      <w:hyperlink r:id="rId1" w:history="1">
        <w:r w:rsidRPr="007A0378">
          <w:rPr>
            <w:rStyle w:val="Hyperlink"/>
            <w:sz w:val="24"/>
            <w:lang w:val="ro-RO"/>
          </w:rPr>
          <w:t>http://data.europa.eu/eli/reg/2018/1046/oj</w:t>
        </w:r>
      </w:hyperlink>
      <w:r w:rsidRPr="007A0378">
        <w:rPr>
          <w:sz w:val="24"/>
          <w:lang w:val="ro-RO"/>
        </w:rPr>
        <w:t>.</w:t>
      </w:r>
    </w:p>
  </w:footnote>
  <w:footnote w:id="2">
    <w:p w:rsidR="0035558B" w:rsidRPr="00086B20" w:rsidRDefault="0035558B" w:rsidP="00086B20">
      <w:pPr>
        <w:pStyle w:val="FootnoteText"/>
        <w:ind w:left="567" w:hanging="567"/>
        <w:rPr>
          <w:sz w:val="24"/>
          <w:lang w:val="ro-RO"/>
        </w:rPr>
      </w:pPr>
      <w:r w:rsidRPr="00086B20">
        <w:rPr>
          <w:rStyle w:val="FootnoteReference"/>
          <w:sz w:val="24"/>
          <w:lang w:val="ro-RO"/>
        </w:rPr>
        <w:footnoteRef/>
      </w:r>
      <w:r w:rsidRPr="00086B20">
        <w:rPr>
          <w:sz w:val="24"/>
          <w:lang w:val="ro-RO"/>
        </w:rPr>
        <w:tab/>
      </w:r>
      <w:r w:rsidRPr="00086B20">
        <w:rPr>
          <w:sz w:val="24"/>
          <w:lang w:val="ro-RO"/>
        </w:rPr>
        <w:t xml:space="preserve">JO L, 2024/2509, 26.9.2024, ELI: </w:t>
      </w:r>
      <w:hyperlink r:id="rId2" w:history="1">
        <w:r w:rsidRPr="00086B20">
          <w:rPr>
            <w:rStyle w:val="Hyperlink"/>
            <w:sz w:val="24"/>
            <w:lang w:val="ro-RO"/>
          </w:rPr>
          <w:t>http://data.europa.eu/eli/reg/2024/2509/oj</w:t>
        </w:r>
      </w:hyperlink>
      <w:r w:rsidRPr="00086B20">
        <w:rPr>
          <w:sz w:val="24"/>
          <w:lang w:val="ro-RO"/>
        </w:rPr>
        <w:t>.</w:t>
      </w:r>
    </w:p>
  </w:footnote>
  <w:footnote w:id="3">
    <w:p w:rsidR="00820557" w:rsidRPr="007A0378" w:rsidRDefault="00820557" w:rsidP="007A0378">
      <w:pPr>
        <w:pStyle w:val="FootnoteText"/>
        <w:ind w:left="567" w:hanging="567"/>
        <w:rPr>
          <w:sz w:val="24"/>
          <w:lang w:val="ro-RO"/>
        </w:rPr>
      </w:pPr>
      <w:r w:rsidRPr="007A0378">
        <w:rPr>
          <w:rStyle w:val="FootnoteReference"/>
          <w:sz w:val="24"/>
          <w:lang w:val="ro-RO"/>
        </w:rPr>
        <w:footnoteRef/>
      </w:r>
      <w:r w:rsidR="007A0378" w:rsidRPr="007A0378">
        <w:rPr>
          <w:sz w:val="24"/>
          <w:lang w:val="ro-RO"/>
        </w:rPr>
        <w:t xml:space="preserve"> </w:t>
      </w:r>
      <w:r w:rsidR="007A0378" w:rsidRPr="007A0378">
        <w:rPr>
          <w:sz w:val="24"/>
          <w:lang w:val="ro-RO"/>
        </w:rPr>
        <w:tab/>
      </w:r>
      <w:r w:rsidRPr="007A0378">
        <w:rPr>
          <w:sz w:val="24"/>
          <w:lang w:val="ro-RO"/>
        </w:rPr>
        <w:t xml:space="preserve">JO L, 2024/207, 22.2.2024, ELI: </w:t>
      </w:r>
      <w:hyperlink r:id="rId3" w:history="1">
        <w:r w:rsidRPr="007A0378">
          <w:rPr>
            <w:rStyle w:val="Hyperlink"/>
            <w:sz w:val="24"/>
            <w:lang w:val="ro-RO"/>
          </w:rPr>
          <w:t>http://data.europa.eu/eli/budget/2024/207/oj</w:t>
        </w:r>
      </w:hyperlink>
      <w:r w:rsidRPr="007A0378">
        <w:rPr>
          <w:sz w:val="24"/>
          <w:lang w:val="ro-RO"/>
        </w:rPr>
        <w:t>.</w:t>
      </w:r>
    </w:p>
  </w:footnote>
  <w:footnote w:id="4">
    <w:p w:rsidR="00820557" w:rsidRPr="007A0378" w:rsidRDefault="00820557" w:rsidP="007A0378">
      <w:pPr>
        <w:pStyle w:val="FootnoteText"/>
        <w:ind w:left="567" w:hanging="567"/>
        <w:rPr>
          <w:sz w:val="24"/>
          <w:lang w:val="ro-RO"/>
        </w:rPr>
      </w:pPr>
      <w:r w:rsidRPr="007A0378">
        <w:rPr>
          <w:rStyle w:val="FootnoteReference"/>
          <w:sz w:val="24"/>
          <w:lang w:val="ro-RO"/>
        </w:rPr>
        <w:footnoteRef/>
      </w:r>
      <w:r w:rsidR="007A0378" w:rsidRPr="007A0378">
        <w:rPr>
          <w:sz w:val="24"/>
          <w:lang w:val="ro-RO"/>
        </w:rPr>
        <w:t xml:space="preserve"> </w:t>
      </w:r>
      <w:r w:rsidR="007A0378" w:rsidRPr="007A0378">
        <w:rPr>
          <w:sz w:val="24"/>
          <w:lang w:val="ro-RO"/>
        </w:rPr>
        <w:tab/>
      </w:r>
      <w:r w:rsidRPr="007A0378">
        <w:rPr>
          <w:sz w:val="24"/>
          <w:lang w:val="ro-RO"/>
        </w:rPr>
        <w:t xml:space="preserve">JO L 433 I, 22.12.2020, p. </w:t>
      </w:r>
      <w:r w:rsidRPr="007A0378">
        <w:rPr>
          <w:sz w:val="24"/>
          <w:lang w:val="ro-RO"/>
        </w:rPr>
        <w:t xml:space="preserve">11, ELI: </w:t>
      </w:r>
      <w:hyperlink r:id="rId4" w:history="1">
        <w:r w:rsidRPr="007A0378">
          <w:rPr>
            <w:rStyle w:val="Hyperlink"/>
            <w:sz w:val="24"/>
            <w:lang w:val="ro-RO"/>
          </w:rPr>
          <w:t>http://data.europa.eu/eli/reg/2020/2093/oj</w:t>
        </w:r>
      </w:hyperlink>
      <w:r w:rsidRPr="007A0378">
        <w:rPr>
          <w:sz w:val="24"/>
          <w:lang w:val="ro-RO"/>
        </w:rPr>
        <w:t>.</w:t>
      </w:r>
    </w:p>
  </w:footnote>
  <w:footnote w:id="5">
    <w:p w:rsidR="00820557" w:rsidRPr="007A0378" w:rsidRDefault="00820557" w:rsidP="00086B20">
      <w:pPr>
        <w:pStyle w:val="FootnoteText"/>
        <w:ind w:left="567" w:right="-286" w:hanging="567"/>
        <w:rPr>
          <w:sz w:val="24"/>
          <w:lang w:val="ro-RO"/>
        </w:rPr>
      </w:pPr>
      <w:r w:rsidRPr="007A0378">
        <w:rPr>
          <w:rStyle w:val="FootnoteReference"/>
          <w:sz w:val="24"/>
          <w:lang w:val="ro-RO"/>
        </w:rPr>
        <w:footnoteRef/>
      </w:r>
      <w:r w:rsidR="007A0378" w:rsidRPr="007A0378">
        <w:rPr>
          <w:sz w:val="24"/>
          <w:lang w:val="ro-RO"/>
        </w:rPr>
        <w:t xml:space="preserve"> </w:t>
      </w:r>
      <w:r w:rsidR="007A0378" w:rsidRPr="007A0378">
        <w:rPr>
          <w:sz w:val="24"/>
          <w:lang w:val="ro-RO"/>
        </w:rPr>
        <w:tab/>
      </w:r>
      <w:r w:rsidRPr="007A0378">
        <w:rPr>
          <w:sz w:val="24"/>
          <w:lang w:val="ro-RO"/>
        </w:rPr>
        <w:t xml:space="preserve">JO L 433 I, 22.12.2020, p. </w:t>
      </w:r>
      <w:r w:rsidRPr="007A0378">
        <w:rPr>
          <w:sz w:val="24"/>
          <w:lang w:val="ro-RO"/>
        </w:rPr>
        <w:t xml:space="preserve">28, ELI: </w:t>
      </w:r>
      <w:bookmarkStart w:id="8" w:name="_GoBack"/>
      <w:bookmarkEnd w:id="8"/>
      <w:r w:rsidR="00F449D3">
        <w:fldChar w:fldCharType="begin"/>
      </w:r>
      <w:r w:rsidR="00F449D3" w:rsidRPr="00F449D3">
        <w:rPr>
          <w:lang w:val="fi-FI"/>
        </w:rPr>
        <w:instrText xml:space="preserve"> HYPERLINK "http://data.europa.eu/eli/agree_interinstit/2020/1222/oj" </w:instrText>
      </w:r>
      <w:r w:rsidR="00F449D3">
        <w:fldChar w:fldCharType="separate"/>
      </w:r>
      <w:r w:rsidRPr="007A0378">
        <w:rPr>
          <w:rStyle w:val="Hyperlink"/>
          <w:sz w:val="24"/>
          <w:lang w:val="ro-RO"/>
        </w:rPr>
        <w:t>http://data.europa.eu/eli/agree_interinstit/2020/1222/oj</w:t>
      </w:r>
      <w:r w:rsidR="00F449D3">
        <w:rPr>
          <w:rStyle w:val="Hyperlink"/>
          <w:sz w:val="24"/>
          <w:lang w:val="ro-RO"/>
        </w:rPr>
        <w:fldChar w:fldCharType="end"/>
      </w:r>
      <w:r w:rsidRPr="007A0378">
        <w:rPr>
          <w:sz w:val="24"/>
          <w:lang w:val="ro-RO"/>
        </w:rPr>
        <w:t>.</w:t>
      </w:r>
    </w:p>
  </w:footnote>
  <w:footnote w:id="6">
    <w:p w:rsidR="00820557" w:rsidRPr="007A0378" w:rsidRDefault="00820557" w:rsidP="007A0378">
      <w:pPr>
        <w:pStyle w:val="FootnoteText"/>
        <w:ind w:left="567" w:hanging="567"/>
        <w:rPr>
          <w:sz w:val="24"/>
          <w:lang w:val="ro-RO"/>
        </w:rPr>
      </w:pPr>
      <w:r w:rsidRPr="007A0378">
        <w:rPr>
          <w:rStyle w:val="FootnoteReference"/>
          <w:sz w:val="24"/>
          <w:lang w:val="ro-RO"/>
        </w:rPr>
        <w:footnoteRef/>
      </w:r>
      <w:r w:rsidR="007A0378" w:rsidRPr="007A0378">
        <w:rPr>
          <w:sz w:val="24"/>
          <w:lang w:val="ro-RO"/>
        </w:rPr>
        <w:t xml:space="preserve"> </w:t>
      </w:r>
      <w:r w:rsidR="007A0378" w:rsidRPr="007A0378">
        <w:rPr>
          <w:sz w:val="24"/>
          <w:lang w:val="ro-RO"/>
        </w:rPr>
        <w:tab/>
      </w:r>
      <w:r w:rsidRPr="007A0378">
        <w:rPr>
          <w:sz w:val="24"/>
          <w:lang w:val="ro-RO"/>
        </w:rPr>
        <w:t>JO L 424, 15.12.2020,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037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037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037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5/2024"/>
    <w:docVar w:name="dvlangue" w:val="RO"/>
    <w:docVar w:name="dvnumam" w:val="0"/>
    <w:docVar w:name="dvpe" w:val="763.033"/>
    <w:docVar w:name="dvrapporteur" w:val="Raportor: "/>
    <w:docVar w:name="dvtitre" w:val="Rezoluția legislativă a Parlamentului European din ... octombrie 2024 referitoare la poziția Consiliului privind proiectul de buget rectificativ nr. 2/2024 al Uniunii Europene pentru exercițiul financiar 2024, de înregistrare a excedentului aferent exercițiului financiar 2023(12081/2024 – C10-0107/2024 – 2024/0089(BUD))"/>
  </w:docVars>
  <w:rsids>
    <w:rsidRoot w:val="00A205DE"/>
    <w:rsid w:val="00002272"/>
    <w:rsid w:val="00064002"/>
    <w:rsid w:val="000677B9"/>
    <w:rsid w:val="000831BA"/>
    <w:rsid w:val="00086B20"/>
    <w:rsid w:val="000A1077"/>
    <w:rsid w:val="000A42CC"/>
    <w:rsid w:val="000E7DD9"/>
    <w:rsid w:val="0010095E"/>
    <w:rsid w:val="00125B37"/>
    <w:rsid w:val="00187494"/>
    <w:rsid w:val="001F32AE"/>
    <w:rsid w:val="002767FF"/>
    <w:rsid w:val="002B18FE"/>
    <w:rsid w:val="002B5493"/>
    <w:rsid w:val="00343214"/>
    <w:rsid w:val="0035558B"/>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58A0"/>
    <w:rsid w:val="00545827"/>
    <w:rsid w:val="00560270"/>
    <w:rsid w:val="005C2568"/>
    <w:rsid w:val="005F1B17"/>
    <w:rsid w:val="006037C0"/>
    <w:rsid w:val="006631B6"/>
    <w:rsid w:val="00680577"/>
    <w:rsid w:val="00694888"/>
    <w:rsid w:val="006F74FA"/>
    <w:rsid w:val="00731ADD"/>
    <w:rsid w:val="00734777"/>
    <w:rsid w:val="00747932"/>
    <w:rsid w:val="00751A4A"/>
    <w:rsid w:val="00756632"/>
    <w:rsid w:val="00762C74"/>
    <w:rsid w:val="00786EC0"/>
    <w:rsid w:val="007A0378"/>
    <w:rsid w:val="007D1690"/>
    <w:rsid w:val="007E22AD"/>
    <w:rsid w:val="00817416"/>
    <w:rsid w:val="00820557"/>
    <w:rsid w:val="00842779"/>
    <w:rsid w:val="00865F67"/>
    <w:rsid w:val="0087598C"/>
    <w:rsid w:val="00881A7B"/>
    <w:rsid w:val="008840E5"/>
    <w:rsid w:val="00887B3E"/>
    <w:rsid w:val="008C2AC6"/>
    <w:rsid w:val="00930C23"/>
    <w:rsid w:val="0093193B"/>
    <w:rsid w:val="009509D8"/>
    <w:rsid w:val="00950B64"/>
    <w:rsid w:val="00981893"/>
    <w:rsid w:val="00A1687D"/>
    <w:rsid w:val="00A205DE"/>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49D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C3E7AD"/>
  <w15:chartTrackingRefBased/>
  <w15:docId w15:val="{3F63C750-88E1-4872-B72C-C5674776A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2055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20557"/>
    <w:pPr>
      <w:spacing w:before="480" w:after="240"/>
    </w:pPr>
  </w:style>
  <w:style w:type="paragraph" w:customStyle="1" w:styleId="NormalHanging12a">
    <w:name w:val="NormalHanging12a"/>
    <w:basedOn w:val="Normal"/>
    <w:rsid w:val="00820557"/>
    <w:pPr>
      <w:spacing w:after="240"/>
      <w:ind w:left="567" w:hanging="567"/>
    </w:pPr>
  </w:style>
  <w:style w:type="paragraph" w:styleId="Header">
    <w:name w:val="header"/>
    <w:basedOn w:val="Normal"/>
    <w:link w:val="HeaderChar"/>
    <w:rsid w:val="00820557"/>
    <w:pPr>
      <w:tabs>
        <w:tab w:val="center" w:pos="4513"/>
        <w:tab w:val="right" w:pos="9026"/>
      </w:tabs>
    </w:pPr>
  </w:style>
  <w:style w:type="character" w:customStyle="1" w:styleId="HeaderChar">
    <w:name w:val="Header Char"/>
    <w:basedOn w:val="DefaultParagraphFont"/>
    <w:link w:val="Header"/>
    <w:rsid w:val="00820557"/>
    <w:rPr>
      <w:sz w:val="24"/>
      <w:lang w:val="ro-RO"/>
    </w:rPr>
  </w:style>
  <w:style w:type="paragraph" w:customStyle="1" w:styleId="EPFooter">
    <w:name w:val="EPFooter"/>
    <w:basedOn w:val="Normal"/>
    <w:rsid w:val="00820557"/>
    <w:pPr>
      <w:tabs>
        <w:tab w:val="center" w:pos="4535"/>
        <w:tab w:val="right" w:pos="9071"/>
      </w:tabs>
      <w:spacing w:before="240" w:after="240"/>
    </w:pPr>
    <w:rPr>
      <w:color w:val="010000"/>
      <w:sz w:val="22"/>
    </w:rPr>
  </w:style>
  <w:style w:type="character" w:styleId="Hyperlink">
    <w:name w:val="Hyperlink"/>
    <w:basedOn w:val="DefaultParagraphFont"/>
    <w:rsid w:val="00820557"/>
    <w:rPr>
      <w:color w:val="0563C1" w:themeColor="hyperlink"/>
      <w:u w:val="single"/>
    </w:rPr>
  </w:style>
  <w:style w:type="paragraph" w:styleId="Footer">
    <w:name w:val="footer"/>
    <w:basedOn w:val="Normal"/>
    <w:link w:val="FooterChar"/>
    <w:rsid w:val="0035558B"/>
    <w:pPr>
      <w:tabs>
        <w:tab w:val="center" w:pos="4513"/>
        <w:tab w:val="right" w:pos="9026"/>
      </w:tabs>
    </w:pPr>
  </w:style>
  <w:style w:type="character" w:customStyle="1" w:styleId="FooterChar">
    <w:name w:val="Footer Char"/>
    <w:basedOn w:val="DefaultParagraphFont"/>
    <w:link w:val="Footer"/>
    <w:rsid w:val="0035558B"/>
    <w:rPr>
      <w:sz w:val="24"/>
      <w:lang w:val="ro-RO"/>
    </w:rPr>
  </w:style>
  <w:style w:type="paragraph" w:styleId="BalloonText">
    <w:name w:val="Balloon Text"/>
    <w:basedOn w:val="Normal"/>
    <w:link w:val="BalloonTextChar"/>
    <w:rsid w:val="0035558B"/>
    <w:rPr>
      <w:rFonts w:ascii="Segoe UI" w:hAnsi="Segoe UI" w:cs="Segoe UI"/>
      <w:sz w:val="18"/>
      <w:szCs w:val="18"/>
    </w:rPr>
  </w:style>
  <w:style w:type="character" w:customStyle="1" w:styleId="BalloonTextChar">
    <w:name w:val="Balloon Text Char"/>
    <w:basedOn w:val="DefaultParagraphFont"/>
    <w:link w:val="BalloonText"/>
    <w:rsid w:val="0035558B"/>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budget/2024/207/oj" TargetMode="External"/><Relationship Id="rId2" Type="http://schemas.openxmlformats.org/officeDocument/2006/relationships/hyperlink" Target="http://data.europa.eu/eli/reg/2024/2509/oj" TargetMode="External"/><Relationship Id="rId1" Type="http://schemas.openxmlformats.org/officeDocument/2006/relationships/hyperlink" Target="http://data.europa.eu/eli/reg/2018/1046/oj" TargetMode="External"/><Relationship Id="rId4" Type="http://schemas.openxmlformats.org/officeDocument/2006/relationships/hyperlink" Target="http://data.europa.eu/eli/reg/2020/20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4E3FEE-0EB3-4D40-95FD-46BA38A2D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1017</Words>
  <Characters>6181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DUMITRESCU Mihai</cp:lastModifiedBy>
  <cp:revision>2</cp:revision>
  <cp:lastPrinted>2004-11-19T15:42:00Z</cp:lastPrinted>
  <dcterms:created xsi:type="dcterms:W3CDTF">2024-10-22T11:41:00Z</dcterms:created>
  <dcterms:modified xsi:type="dcterms:W3CDTF">2024-10-22T11:41:00Z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A10-0005/2024</vt:lpwstr>
  </property>
  <property fmtid="{D5CDD505-2E9C-101B-9397-08002B2CF9AE}" pid="4" name="&lt;Type&gt;">
    <vt:lpwstr>RR</vt:lpwstr>
  </property>
</Properties>
</file>