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04AEB" w:rsidRPr="00176E9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04AEB" w:rsidRPr="00176E98" w:rsidRDefault="006874F2">
            <w:pPr>
              <w:pStyle w:val="EPName"/>
            </w:pPr>
            <w:bookmarkStart w:id="0" w:name="_GoBack"/>
            <w:bookmarkEnd w:id="0"/>
            <w:r w:rsidRPr="00176E98">
              <w:t>Európsky parlament</w:t>
            </w:r>
          </w:p>
          <w:p w:rsidR="00804AEB" w:rsidRPr="00176E98" w:rsidRDefault="006874F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E98">
              <w:t>2024-2029</w:t>
            </w:r>
          </w:p>
        </w:tc>
        <w:tc>
          <w:tcPr>
            <w:tcW w:w="2268" w:type="dxa"/>
            <w:shd w:val="clear" w:color="auto" w:fill="auto"/>
          </w:tcPr>
          <w:p w:rsidR="00804AEB" w:rsidRPr="00176E98" w:rsidRDefault="006874F2">
            <w:pPr>
              <w:pStyle w:val="EPLogo"/>
            </w:pPr>
            <w:r w:rsidRPr="00176E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4AEB" w:rsidRPr="00176E98" w:rsidRDefault="00804AEB">
      <w:pPr>
        <w:pStyle w:val="LineTop"/>
      </w:pPr>
    </w:p>
    <w:p w:rsidR="00804AEB" w:rsidRPr="00176E98" w:rsidRDefault="006874F2">
      <w:pPr>
        <w:pStyle w:val="EPBodyTA1"/>
      </w:pPr>
      <w:r w:rsidRPr="00176E98">
        <w:t>PRIJATÉ TEXTY</w:t>
      </w:r>
    </w:p>
    <w:p w:rsidR="00804AEB" w:rsidRPr="00176E98" w:rsidRDefault="00804AEB">
      <w:pPr>
        <w:pStyle w:val="LineBottom"/>
      </w:pPr>
    </w:p>
    <w:p w:rsidR="00804AEB" w:rsidRPr="00176E98" w:rsidRDefault="006874F2">
      <w:pPr>
        <w:pStyle w:val="ATHeading1"/>
      </w:pPr>
      <w:bookmarkStart w:id="1" w:name="TANumber"/>
      <w:r w:rsidRPr="00176E98">
        <w:t>P10_TA(2024)00</w:t>
      </w:r>
      <w:r w:rsidR="00E17A71" w:rsidRPr="00176E98">
        <w:t>23</w:t>
      </w:r>
      <w:bookmarkEnd w:id="1"/>
    </w:p>
    <w:p w:rsidR="00804AEB" w:rsidRPr="00176E98" w:rsidRDefault="006874F2">
      <w:pPr>
        <w:pStyle w:val="ATHeading2"/>
      </w:pPr>
      <w:bookmarkStart w:id="2" w:name="title"/>
      <w:r w:rsidRPr="00176E98">
        <w:t>Návrh opravného rozpočtu č. 2/2024: zahrnutie prebytku z rozpočtového roka 2023</w:t>
      </w:r>
      <w:bookmarkEnd w:id="2"/>
    </w:p>
    <w:p w:rsidR="00804AEB" w:rsidRPr="00176E98" w:rsidRDefault="006874F2">
      <w:pPr>
        <w:rPr>
          <w:i/>
          <w:vanish/>
        </w:rPr>
      </w:pPr>
      <w:r w:rsidRPr="00176E98">
        <w:rPr>
          <w:i/>
        </w:rPr>
        <w:fldChar w:fldCharType="begin"/>
      </w:r>
      <w:r w:rsidRPr="00176E98">
        <w:rPr>
          <w:i/>
        </w:rPr>
        <w:instrText xml:space="preserve"> TC"(</w:instrText>
      </w:r>
      <w:bookmarkStart w:id="3" w:name="DocNumber"/>
      <w:r w:rsidRPr="00176E98">
        <w:rPr>
          <w:i/>
        </w:rPr>
        <w:instrText>A10-0005/2024</w:instrText>
      </w:r>
      <w:bookmarkEnd w:id="3"/>
      <w:r w:rsidRPr="00176E98">
        <w:rPr>
          <w:i/>
        </w:rPr>
        <w:instrText xml:space="preserve"> - Spravodajca: </w:instrText>
      </w:r>
      <w:proofErr w:type="spellStart"/>
      <w:r w:rsidRPr="00176E98">
        <w:rPr>
          <w:i/>
        </w:rPr>
        <w:instrText>Siegfried</w:instrText>
      </w:r>
      <w:proofErr w:type="spellEnd"/>
      <w:r w:rsidRPr="00176E98">
        <w:rPr>
          <w:i/>
        </w:rPr>
        <w:instrText xml:space="preserve"> </w:instrText>
      </w:r>
      <w:proofErr w:type="spellStart"/>
      <w:r w:rsidRPr="00176E98">
        <w:rPr>
          <w:i/>
        </w:rPr>
        <w:instrText>Mureşan</w:instrText>
      </w:r>
      <w:proofErr w:type="spellEnd"/>
      <w:r w:rsidRPr="00176E98">
        <w:rPr>
          <w:i/>
        </w:rPr>
        <w:instrText xml:space="preserve">)"\l3 \n&gt; \* MERGEFORMAT </w:instrText>
      </w:r>
      <w:r w:rsidRPr="00176E98">
        <w:rPr>
          <w:i/>
        </w:rPr>
        <w:fldChar w:fldCharType="end"/>
      </w:r>
    </w:p>
    <w:p w:rsidR="00804AEB" w:rsidRPr="00176E98" w:rsidRDefault="006874F2">
      <w:pPr>
        <w:rPr>
          <w:vanish/>
        </w:rPr>
      </w:pPr>
      <w:bookmarkStart w:id="4" w:name="Commission"/>
      <w:r w:rsidRPr="00176E98">
        <w:rPr>
          <w:vanish/>
        </w:rPr>
        <w:t>Výbor pre rozpočet</w:t>
      </w:r>
      <w:bookmarkEnd w:id="4"/>
    </w:p>
    <w:p w:rsidR="00804AEB" w:rsidRPr="00176E98" w:rsidRDefault="006874F2">
      <w:pPr>
        <w:rPr>
          <w:vanish/>
        </w:rPr>
      </w:pPr>
      <w:bookmarkStart w:id="5" w:name="PE"/>
      <w:r w:rsidRPr="00176E98">
        <w:rPr>
          <w:vanish/>
        </w:rPr>
        <w:t>PE763.033</w:t>
      </w:r>
      <w:bookmarkEnd w:id="5"/>
    </w:p>
    <w:p w:rsidR="00804AEB" w:rsidRPr="00176E98" w:rsidRDefault="006874F2">
      <w:pPr>
        <w:pStyle w:val="ATHeading3"/>
      </w:pPr>
      <w:bookmarkStart w:id="6" w:name="Sujet"/>
      <w:r w:rsidRPr="00176E98">
        <w:t>Uznesenie Európskeho parlamentu z 22. októbra 2024 o pozícii Rady k návrhu opravného rozpočtu Európskej únie č. 2/2024 na rozpočtový rok 2024 – zahrnutie prebytku z rozpočtového roka 2023</w:t>
      </w:r>
      <w:bookmarkEnd w:id="6"/>
      <w:r w:rsidRPr="00176E98">
        <w:t xml:space="preserve"> </w:t>
      </w:r>
      <w:bookmarkStart w:id="7" w:name="References"/>
      <w:r w:rsidRPr="00176E98">
        <w:t>(12081/2024 – C10-0107/2024 – 2024/0089(BUD))</w:t>
      </w:r>
      <w:bookmarkEnd w:id="7"/>
    </w:p>
    <w:p w:rsidR="00804AEB" w:rsidRPr="00176E98" w:rsidRDefault="006874F2">
      <w:pPr>
        <w:pStyle w:val="EPComma"/>
      </w:pPr>
      <w:bookmarkStart w:id="8" w:name="TextBodyBegin"/>
      <w:bookmarkEnd w:id="8"/>
      <w:r w:rsidRPr="00176E98">
        <w:rPr>
          <w:i/>
        </w:rPr>
        <w:t>Európsky parlament</w:t>
      </w:r>
      <w:r w:rsidRPr="00176E98">
        <w:t>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článok 314 Zmluvy o fungovaní Európskej únie,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článok 106a Zmluvy o založení Európskeho spoločenstva pre atómovú energiu,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nariadenie Európskeho parlamentu a Rady (EÚ, </w:t>
      </w:r>
      <w:proofErr w:type="spellStart"/>
      <w:r w:rsidRPr="00176E98">
        <w:t>Euratom</w:t>
      </w:r>
      <w:proofErr w:type="spellEnd"/>
      <w:r w:rsidRPr="00176E98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176E98">
        <w:t>Euratom</w:t>
      </w:r>
      <w:proofErr w:type="spellEnd"/>
      <w:r w:rsidRPr="00176E98">
        <w:t>) č. 966/2012</w:t>
      </w:r>
      <w:r w:rsidRPr="00176E98">
        <w:rPr>
          <w:rStyle w:val="FootnoteReference"/>
        </w:rPr>
        <w:footnoteReference w:id="1"/>
      </w:r>
      <w:r w:rsidRPr="00176E98">
        <w:t>, a najmä na jeho článok 44,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nariadenie Európskeho parlamentu a Rady (EÚ, </w:t>
      </w:r>
      <w:proofErr w:type="spellStart"/>
      <w:r w:rsidRPr="00176E98">
        <w:t>Euratom</w:t>
      </w:r>
      <w:proofErr w:type="spellEnd"/>
      <w:r w:rsidRPr="00176E98">
        <w:t>) 2024/2509 z 23. septembra 2024 o rozpočtových pravidlách, ktoré sa vzťahujú na všeobecný rozpočet Únie</w:t>
      </w:r>
      <w:r w:rsidRPr="00176E98">
        <w:rPr>
          <w:rStyle w:val="FootnoteReference"/>
        </w:rPr>
        <w:footnoteReference w:id="2"/>
      </w:r>
      <w:r w:rsidRPr="00176E98">
        <w:t>, a najmä na jeho článok 44,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všeobecný rozpočet Európskej únie na rozpočtový rok 2024 prijatý s konečnou platnosťou 22. novembra 2023</w:t>
      </w:r>
      <w:r w:rsidRPr="00176E98">
        <w:rPr>
          <w:rStyle w:val="FootnoteReference"/>
        </w:rPr>
        <w:footnoteReference w:id="3"/>
      </w:r>
      <w:r w:rsidRPr="00176E98">
        <w:t>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nariadenie Rady (EÚ, </w:t>
      </w:r>
      <w:proofErr w:type="spellStart"/>
      <w:r w:rsidRPr="00176E98">
        <w:t>Euratom</w:t>
      </w:r>
      <w:proofErr w:type="spellEnd"/>
      <w:r w:rsidRPr="00176E98">
        <w:t xml:space="preserve">) 2020/2093 zo 17. decembra 2020, </w:t>
      </w:r>
      <w:r w:rsidRPr="00176E98">
        <w:lastRenderedPageBreak/>
        <w:t>ktorým sa stanovuje viacročný finančný rámec na roky 2021 až 2027</w:t>
      </w:r>
      <w:r w:rsidRPr="00176E98">
        <w:rPr>
          <w:rStyle w:val="FootnoteReference"/>
        </w:rPr>
        <w:footnoteReference w:id="4"/>
      </w:r>
      <w:r w:rsidRPr="00176E98">
        <w:t>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</w:t>
      </w:r>
      <w:proofErr w:type="spellStart"/>
      <w:r w:rsidRPr="00176E98">
        <w:t>Medziinštitucionálnu</w:t>
      </w:r>
      <w:proofErr w:type="spellEnd"/>
      <w:r w:rsidRPr="00176E98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176E98">
        <w:rPr>
          <w:rStyle w:val="FootnoteReference"/>
        </w:rPr>
        <w:footnoteReference w:id="5"/>
      </w:r>
      <w:r w:rsidRPr="00176E98">
        <w:t>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rozhodnutie Rady (EÚ, </w:t>
      </w:r>
      <w:proofErr w:type="spellStart"/>
      <w:r w:rsidRPr="00176E98">
        <w:t>Euratom</w:t>
      </w:r>
      <w:proofErr w:type="spellEnd"/>
      <w:r w:rsidRPr="00176E98">
        <w:t xml:space="preserve">) 2020/2053 zo 14. decembra 2020 o systéme vlastných zdrojov Európskej únie a o zrušení rozhodnutia 2014/335/EÚ, </w:t>
      </w:r>
      <w:proofErr w:type="spellStart"/>
      <w:r w:rsidRPr="00176E98">
        <w:t>Euratom</w:t>
      </w:r>
      <w:proofErr w:type="spellEnd"/>
      <w:r w:rsidRPr="00176E98">
        <w:rPr>
          <w:rStyle w:val="FootnoteReference"/>
        </w:rPr>
        <w:footnoteReference w:id="6"/>
      </w:r>
      <w:r w:rsidRPr="00176E98">
        <w:t>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návrh opravného rozpočtu č. 2/2024, ktorý Komisia prijala 9. apríla 2024 (COM(2024)0920),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pozíciu k návrhu opravného rozpočtu č. 2/2024, ktorú prijala Rada 13. septembra 2024 a postúpila Európskemu parlamentu 16. septembra 2024 (12081/2024 – C10</w:t>
      </w:r>
      <w:r w:rsidRPr="00176E98">
        <w:noBreakHyphen/>
        <w:t>0107/2024),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 xml:space="preserve">so zreteľom na články 96 a 98 rokovacieho poriadku, </w:t>
      </w:r>
    </w:p>
    <w:p w:rsidR="00804AEB" w:rsidRPr="00176E98" w:rsidRDefault="006874F2">
      <w:pPr>
        <w:pStyle w:val="NormalHanging12a"/>
      </w:pPr>
      <w:r w:rsidRPr="00176E98">
        <w:t>–</w:t>
      </w:r>
      <w:r w:rsidRPr="00176E98">
        <w:tab/>
        <w:t>so zreteľom na správu Výboru pre rozpočet (A10-0005/2024),</w:t>
      </w:r>
    </w:p>
    <w:p w:rsidR="00804AEB" w:rsidRPr="00176E98" w:rsidRDefault="006874F2">
      <w:pPr>
        <w:pStyle w:val="NormalHanging12a"/>
      </w:pPr>
      <w:r w:rsidRPr="00176E98">
        <w:t>A.</w:t>
      </w:r>
      <w:r w:rsidRPr="00176E98">
        <w:tab/>
        <w:t>keďže cieľom návrhu opravného rozpočtu č. 2/2024 je zahrnúť do rozpočtu na rok 2024 prebytok z rozpočtového roka 2023 vo výške 633 miliónov EUR;</w:t>
      </w:r>
    </w:p>
    <w:p w:rsidR="00804AEB" w:rsidRPr="00176E98" w:rsidRDefault="006874F2">
      <w:pPr>
        <w:pStyle w:val="NormalHanging12a"/>
      </w:pPr>
      <w:r w:rsidRPr="00176E98">
        <w:t>B.</w:t>
      </w:r>
      <w:r w:rsidRPr="00176E98">
        <w:tab/>
        <w:t>keďže hlavnými zložkami tohto prebytku sú kladný výsledok plnenia rozpočtu na strane príjmov vo výške 238,7 milióna EUR, ako aj nevyčerpané prostriedky vo výške 393,9 milióna EUR;</w:t>
      </w:r>
    </w:p>
    <w:p w:rsidR="00804AEB" w:rsidRPr="00176E98" w:rsidRDefault="006874F2">
      <w:pPr>
        <w:pStyle w:val="NormalHanging12a"/>
      </w:pPr>
      <w:r w:rsidRPr="00176E98">
        <w:t>C.</w:t>
      </w:r>
      <w:r w:rsidRPr="00176E98">
        <w:tab/>
        <w:t>keďže na strane príjmov sú hlavnými dôvodmi výšky prebytku suma 1 766 miliónov EUR, ktorú tvoria finančné príjmy, úroky z omeškania a pokuty, započítané oproti clám vo výške 1 649 miliónov EUR pod očakávanou hodnotou; keďže prebytok v administratívnych príjmoch vo výške 107 miliónov EUR možno pripísať najmä vyššej sadzbe príspevkov na dôchodkové zabezpečenie, než sa predpokladalo, a uplatneniu priebežnej aktualizácie platov v januári 2023, ktorou sa zvýšila úroveň daní, odvodov a príspevkov na dôchodkové zabezpečenie;</w:t>
      </w:r>
    </w:p>
    <w:p w:rsidR="00804AEB" w:rsidRPr="00176E98" w:rsidRDefault="006874F2">
      <w:pPr>
        <w:pStyle w:val="NormalHanging12a"/>
      </w:pPr>
      <w:r w:rsidRPr="00176E98">
        <w:t>D.</w:t>
      </w:r>
      <w:r w:rsidRPr="00176E98">
        <w:tab/>
        <w:t>keďže na strane výdavkov vznikla nižším využitím platieb Komisiou celkovo suma 70 miliónov EUR (0,1 % povolených platobných rozpočtových prostriedkov); keďže ostatné inštitúcie zrušili platby vo výške 48 miliónov EUR, čím sa zachovala nízka miera nižšieho využitia rozpočtových prostriedkov z roku 2022;</w:t>
      </w:r>
    </w:p>
    <w:p w:rsidR="00804AEB" w:rsidRPr="00176E98" w:rsidRDefault="006874F2">
      <w:pPr>
        <w:pStyle w:val="NormalHanging12a"/>
      </w:pPr>
      <w:r w:rsidRPr="00176E98">
        <w:t>E.</w:t>
      </w:r>
      <w:r w:rsidRPr="00176E98">
        <w:tab/>
        <w:t xml:space="preserve">keďže v návrhu opravného rozpočtu č. 2/2024 predstavujú ročné paušálne zníženia HND, ktoré využívajú Nemecko, Holandsko, Dánsko, Švédsko a Rakúsko, približne 5,4 miliardy EUR netto; </w:t>
      </w:r>
    </w:p>
    <w:p w:rsidR="00804AEB" w:rsidRPr="00176E98" w:rsidRDefault="006874F2">
      <w:pPr>
        <w:pStyle w:val="NormalHanging12a"/>
        <w:rPr>
          <w:szCs w:val="24"/>
        </w:rPr>
      </w:pPr>
      <w:r w:rsidRPr="00176E98">
        <w:lastRenderedPageBreak/>
        <w:t>F.</w:t>
      </w:r>
      <w:r w:rsidRPr="00176E98">
        <w:tab/>
        <w:t>keďže rezervy a flexibilita v rozpočte Únie sú naďalej veľmi obmedzené napriek revízii viacročného finančného rámca (ďalej len „VFR“) a zavedeniu nového nástroja EURI na pokrytie zvýšených nákladov na prijaté úvery a pôžičky pre Nástroj Európskej únie na obnovu, ktoré sú vo svojej podstate nestále, čo spôsobuje neistotu pre rozpočet; keďže v tomto náročnom kontexte sa rozpočtové potreby zvyšujú;</w:t>
      </w:r>
    </w:p>
    <w:p w:rsidR="00804AEB" w:rsidRPr="00176E98" w:rsidRDefault="006874F2">
      <w:pPr>
        <w:pStyle w:val="NormalHanging12a"/>
      </w:pPr>
      <w:r w:rsidRPr="00176E98">
        <w:t>1.</w:t>
      </w:r>
      <w:r w:rsidRPr="00176E98">
        <w:tab/>
        <w:t>berie na vedomie návrh opravného rozpočtu č. 2/2024 predložený Komisiou, ktorého cieľom je zahrnúť do rozpočtu prebytok z roku 2023 vo výške 633 miliónov EUR v súlade s článkom 18 ods. 3 nariadenia o rozpočtových pravidlách;</w:t>
      </w:r>
    </w:p>
    <w:p w:rsidR="00804AEB" w:rsidRPr="00176E98" w:rsidRDefault="006874F2">
      <w:pPr>
        <w:pStyle w:val="NormalHanging12a"/>
      </w:pPr>
      <w:r w:rsidRPr="00176E98">
        <w:t>2.</w:t>
      </w:r>
      <w:r w:rsidRPr="00176E98">
        <w:tab/>
        <w:t xml:space="preserve">víta skutočnosť, že prebytok z roku 2023 je výrazne nižší ako prebytok z roku 2022, čo poukazuje na zlepšenie rozpočtových prognóz a riadenia zo strany Komisie; </w:t>
      </w:r>
    </w:p>
    <w:p w:rsidR="00804AEB" w:rsidRPr="00176E98" w:rsidRDefault="006874F2">
      <w:pPr>
        <w:pStyle w:val="NormalHanging12a"/>
      </w:pPr>
      <w:r w:rsidRPr="00176E98">
        <w:t>3.</w:t>
      </w:r>
      <w:r w:rsidRPr="00176E98">
        <w:tab/>
        <w:t>zdôrazňuje, že prebytok znižuje celkový príspevok členských štátov na financovanie rozpočtu na rok 2024 v čase, keď sú potreby financovania naďalej vysoké a priestor v rámci rozpočtu Únie je mimoriadne obmedzený; zdôrazňuje, že rozpočet si musí zachovať dostatočnú flexibilitu, aby sa Únia mohla vyrovnať s nepredvídanými udalosťami a novými vznikajúcimi prioritami;</w:t>
      </w:r>
    </w:p>
    <w:p w:rsidR="00804AEB" w:rsidRPr="00176E98" w:rsidRDefault="006874F2">
      <w:pPr>
        <w:pStyle w:val="NormalHanging12a"/>
      </w:pPr>
      <w:r w:rsidRPr="00176E98">
        <w:t>4.</w:t>
      </w:r>
      <w:r w:rsidRPr="00176E98">
        <w:tab/>
        <w:t>pripomína svoju dlhodobú pozíciu, že pokuty a poplatky by sa mali používať ako dodatočné príjmy do rozpočtu Únie a nemali by viesť k následnému zníženiu príspevkov založených na HND;</w:t>
      </w:r>
    </w:p>
    <w:p w:rsidR="00804AEB" w:rsidRPr="00176E98" w:rsidRDefault="006874F2">
      <w:pPr>
        <w:widowControl/>
        <w:spacing w:before="120" w:after="120"/>
        <w:ind w:left="567" w:hanging="567"/>
      </w:pPr>
      <w:r w:rsidRPr="00176E98">
        <w:t>5.</w:t>
      </w:r>
      <w:r w:rsidRPr="00176E98">
        <w:tab/>
        <w:t>berie na vedomie výpočet upravených ročných paušálnych znížení HND pre päť prijímajúcich členských štátov, ktoré predstavujú približne 5,4 miliardy EUR netto; zdôrazňuje, že tieto zľavy súvisia s infláciou, a preto sa zvýšili vyšším tempom ako stropy VFR, ktoré sa každoročne upravujú na základe deflátora vo výške 2 %; zdôrazňuje, že táto anomália zvyšuje zaťaženie ostatných členských štátov;</w:t>
      </w:r>
    </w:p>
    <w:p w:rsidR="00804AEB" w:rsidRPr="00176E98" w:rsidRDefault="006874F2">
      <w:pPr>
        <w:pStyle w:val="NormalHanging12a"/>
        <w:rPr>
          <w:szCs w:val="24"/>
        </w:rPr>
      </w:pPr>
      <w:r w:rsidRPr="00176E98">
        <w:t>6.</w:t>
      </w:r>
      <w:r w:rsidRPr="00176E98">
        <w:tab/>
        <w:t xml:space="preserve">zdôrazňuje potrebu udržateľných príjmov do rozpočtu Únie; vyjadruje preto poľutovanie nad tým, že Rada nedosiahla pokrok v reforme systému vlastných zdrojov </w:t>
      </w:r>
      <w:r w:rsidRPr="00176E98">
        <w:rPr>
          <w:color w:val="1E1E1F"/>
          <w:shd w:val="clear" w:color="auto" w:fill="FFFFFF"/>
        </w:rPr>
        <w:t xml:space="preserve">v súlade s plánom uvedeným v </w:t>
      </w:r>
      <w:proofErr w:type="spellStart"/>
      <w:r w:rsidRPr="00176E98">
        <w:rPr>
          <w:color w:val="1E1E1F"/>
          <w:shd w:val="clear" w:color="auto" w:fill="FFFFFF"/>
        </w:rPr>
        <w:t>Medziinštitucionálnej</w:t>
      </w:r>
      <w:proofErr w:type="spellEnd"/>
      <w:r w:rsidRPr="00176E98">
        <w:rPr>
          <w:color w:val="1E1E1F"/>
          <w:shd w:val="clear" w:color="auto" w:fill="FFFFFF"/>
        </w:rPr>
        <w:t xml:space="preserve"> dohode; pripomína</w:t>
      </w:r>
      <w:r w:rsidRPr="00176E98">
        <w:t xml:space="preserve"> </w:t>
      </w:r>
      <w:r w:rsidRPr="00176E98">
        <w:rPr>
          <w:color w:val="1E1E1F"/>
          <w:shd w:val="clear" w:color="auto" w:fill="FFFFFF"/>
        </w:rPr>
        <w:t>svoju pozíciu na podporu zmenených návrhov Komisie</w:t>
      </w:r>
      <w:r w:rsidRPr="00176E98">
        <w:t xml:space="preserve"> a naliehavo vyzýva Radu, aby urýchlene prijala tieto návrhy s cieľom zvýšiť vlastné zdroje dostupné pre rozpočet Únie;</w:t>
      </w:r>
    </w:p>
    <w:p w:rsidR="00804AEB" w:rsidRPr="00176E98" w:rsidRDefault="006874F2">
      <w:pPr>
        <w:pStyle w:val="NormalHanging12a"/>
      </w:pPr>
      <w:r w:rsidRPr="00176E98">
        <w:t>7.</w:t>
      </w:r>
      <w:r w:rsidRPr="00176E98">
        <w:tab/>
        <w:t>schvaľuje pozíciu Rady k návrhu opravného rozpočtu č. 2/2024;</w:t>
      </w:r>
    </w:p>
    <w:p w:rsidR="00804AEB" w:rsidRPr="00176E98" w:rsidRDefault="006874F2">
      <w:pPr>
        <w:pStyle w:val="NormalHanging12a"/>
      </w:pPr>
      <w:r w:rsidRPr="00176E98">
        <w:t>8.</w:t>
      </w:r>
      <w:r w:rsidRPr="00176E98">
        <w:tab/>
        <w:t xml:space="preserve">poveruje svoju predsedníčku, aby vyhlásila opravný rozpočet č. 3/2024 za prijatý s konečnou platnosťou a aby zabezpečila jeho uverejnenie v </w:t>
      </w:r>
      <w:r w:rsidRPr="00176E98">
        <w:rPr>
          <w:i/>
        </w:rPr>
        <w:t>Úradnom vestníku Európskej únie</w:t>
      </w:r>
      <w:r w:rsidRPr="00176E98">
        <w:t>;</w:t>
      </w:r>
    </w:p>
    <w:p w:rsidR="00804AEB" w:rsidRPr="00176E98" w:rsidRDefault="006874F2">
      <w:pPr>
        <w:pStyle w:val="NormalHanging12a"/>
      </w:pPr>
      <w:r w:rsidRPr="00176E98">
        <w:t>9.</w:t>
      </w:r>
      <w:r w:rsidRPr="00176E98">
        <w:tab/>
        <w:t>poveruje svoju predsedníčku, aby postúpila toto uznesenie Rade, Komisii a ďalším príslušným inštitúciám a orgánom, ako aj národným parlamentom.</w:t>
      </w:r>
    </w:p>
    <w:p w:rsidR="00804AEB" w:rsidRPr="00176E98" w:rsidRDefault="00804AEB">
      <w:bookmarkStart w:id="9" w:name="TextBodyEnd"/>
      <w:bookmarkEnd w:id="9"/>
    </w:p>
    <w:sectPr w:rsidR="00804AEB" w:rsidRPr="00176E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AEB" w:rsidRDefault="006874F2">
      <w:r>
        <w:separator/>
      </w:r>
    </w:p>
  </w:endnote>
  <w:endnote w:type="continuationSeparator" w:id="0">
    <w:p w:rsidR="00804AEB" w:rsidRDefault="0068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AEB" w:rsidRDefault="006874F2">
      <w:r>
        <w:separator/>
      </w:r>
    </w:p>
  </w:footnote>
  <w:footnote w:type="continuationSeparator" w:id="0">
    <w:p w:rsidR="00804AEB" w:rsidRDefault="006874F2">
      <w:r>
        <w:continuationSeparator/>
      </w:r>
    </w:p>
  </w:footnote>
  <w:footnote w:id="1">
    <w:p w:rsidR="00804AEB" w:rsidRDefault="006874F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193, 30.7.2018, s. 1, ELI: </w:t>
      </w:r>
      <w:hyperlink r:id="rId1" w:history="1">
        <w:r>
          <w:rPr>
            <w:rStyle w:val="Hyperlink"/>
            <w:sz w:val="24"/>
            <w:lang w:val="sk-SK"/>
          </w:rPr>
          <w:t>https://eur-lex.europa.eu/eli/reg/2018/1046/oj?locale=sk</w:t>
        </w:r>
      </w:hyperlink>
    </w:p>
  </w:footnote>
  <w:footnote w:id="2">
    <w:p w:rsidR="00804AEB" w:rsidRPr="008B3865" w:rsidRDefault="006874F2" w:rsidP="008B3865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8B3865">
        <w:rPr>
          <w:lang w:val="fi-FI"/>
        </w:rPr>
        <w:t xml:space="preserve"> </w:t>
      </w:r>
      <w:r>
        <w:rPr>
          <w:lang w:val="fi-FI"/>
        </w:rPr>
        <w:tab/>
      </w:r>
      <w:r>
        <w:rPr>
          <w:sz w:val="24"/>
          <w:szCs w:val="24"/>
          <w:lang w:val="fi-FI"/>
        </w:rPr>
        <w:t xml:space="preserve">Ú. v. EÚ L, 2024/2509, 26.9.2024, ELI: </w:t>
      </w:r>
      <w:r>
        <w:rPr>
          <w:color w:val="221E1F"/>
          <w:sz w:val="24"/>
          <w:szCs w:val="24"/>
          <w:lang w:val="fi-FI"/>
        </w:rPr>
        <w:t>http://data.europa.eu/eli/reg/2024/2509/oj.</w:t>
      </w:r>
    </w:p>
  </w:footnote>
  <w:footnote w:id="3">
    <w:p w:rsidR="00804AEB" w:rsidRDefault="006874F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L, 2024/207, 22.2.2024, ELI: </w:t>
      </w:r>
      <w:hyperlink r:id="rId2" w:history="1">
        <w:r>
          <w:rPr>
            <w:rStyle w:val="Hyperlink"/>
            <w:sz w:val="24"/>
            <w:lang w:val="sk-SK"/>
          </w:rPr>
          <w:t>http://data.europa.eu/eli/budget/2024/207/oj?locale=sk</w:t>
        </w:r>
      </w:hyperlink>
    </w:p>
  </w:footnote>
  <w:footnote w:id="4">
    <w:p w:rsidR="00804AEB" w:rsidRDefault="006874F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 433 I, 22.12.2020, s. 11, ELI: </w:t>
      </w:r>
      <w:hyperlink r:id="rId3" w:history="1">
        <w:r>
          <w:rPr>
            <w:rStyle w:val="Hyperlink"/>
            <w:sz w:val="24"/>
            <w:lang w:val="sk-SK"/>
          </w:rPr>
          <w:t>https://eur-lex.europa.eu/eli/reg/2020/2093/oj?locale=sk</w:t>
        </w:r>
      </w:hyperlink>
    </w:p>
  </w:footnote>
  <w:footnote w:id="5">
    <w:p w:rsidR="00804AEB" w:rsidRDefault="006874F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 433 I, 22.12.2020, s. 28, ELI: </w:t>
      </w:r>
      <w:hyperlink r:id="rId4" w:history="1">
        <w:r>
          <w:rPr>
            <w:rStyle w:val="Hyperlink"/>
            <w:sz w:val="24"/>
            <w:lang w:val="sk-SK"/>
          </w:rPr>
          <w:t>https://eur-lex.europa.eu/eli/agree_interinstit/2020/1222/oj</w:t>
        </w:r>
      </w:hyperlink>
    </w:p>
  </w:footnote>
  <w:footnote w:id="6">
    <w:p w:rsidR="00804AEB" w:rsidRDefault="006874F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L 424, 15.12.2020,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EB" w:rsidRDefault="00804A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SK"/>
    <w:docVar w:name="dvnumam" w:val="0"/>
    <w:docVar w:name="dvpe" w:val="763.033"/>
    <w:docVar w:name="dvrapporteur" w:val="Spravodajca: "/>
    <w:docVar w:name="dvtitre" w:val="Uznesenie Európskeho parlamentu z xx. októbra 2024 o pozícii Rady k návrhu opravného rozpočtu Európskej únie č. 2/2024 na rozpočtový rok 2024 – zahrnutie prebytku z rozpočtového roka 2023(12081/2024 – C10-0107/2024 – 2024/0089(BUD))"/>
  </w:docVars>
  <w:rsids>
    <w:rsidRoot w:val="00804AEB"/>
    <w:rsid w:val="00176E98"/>
    <w:rsid w:val="006874F2"/>
    <w:rsid w:val="00804AEB"/>
    <w:rsid w:val="008B3865"/>
    <w:rsid w:val="00E17A71"/>
    <w:rsid w:val="00E2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7AE6A"/>
  <w15:chartTrackingRefBased/>
  <w15:docId w15:val="{B21A7F33-ADD6-43CF-B9CF-D58D0165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874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74F2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0/2093/oj?locale=sk" TargetMode="External"/><Relationship Id="rId2" Type="http://schemas.openxmlformats.org/officeDocument/2006/relationships/hyperlink" Target="http://data.europa.eu/eli/budget/2024/207/oj?locale=sk" TargetMode="External"/><Relationship Id="rId1" Type="http://schemas.openxmlformats.org/officeDocument/2006/relationships/hyperlink" Target="https://eur-lex.europa.eu/eli/reg/2018/1046/oj?locale=sk" TargetMode="External"/><Relationship Id="rId4" Type="http://schemas.openxmlformats.org/officeDocument/2006/relationships/hyperlink" Target="https://eur-lex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C37F4-4645-42AE-861B-53DA05ED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932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2024-10-22T09:34:00Z</dcterms:created>
  <dcterms:modified xsi:type="dcterms:W3CDTF">2024-10-22T09:34:00Z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A10-0005/2024</vt:lpwstr>
  </property>
  <property fmtid="{D5CDD505-2E9C-101B-9397-08002B2CF9AE}" pid="4" name="&lt;Type&gt;">
    <vt:lpwstr>RR</vt:lpwstr>
  </property>
</Properties>
</file>