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1C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1CD5" w:rsidRDefault="00621F29" w:rsidP="0010095E">
            <w:pPr>
              <w:pStyle w:val="EPName"/>
            </w:pPr>
            <w:r w:rsidRPr="00511CD5">
              <w:t>Evropski parlament</w:t>
            </w:r>
          </w:p>
          <w:p w:rsidR="00751A4A" w:rsidRPr="00511C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1CD5">
              <w:t>2024</w:t>
            </w:r>
            <w:r w:rsidR="00817416" w:rsidRPr="00511CD5">
              <w:t>-202</w:t>
            </w:r>
            <w:r w:rsidRPr="00511C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11CD5" w:rsidRDefault="00187494" w:rsidP="0010095E">
            <w:pPr>
              <w:pStyle w:val="EPLogo"/>
            </w:pPr>
            <w:r w:rsidRPr="00511C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1CD5" w:rsidRDefault="00D058B8" w:rsidP="004C5D52">
      <w:pPr>
        <w:pStyle w:val="LineTop"/>
      </w:pPr>
    </w:p>
    <w:p w:rsidR="00680577" w:rsidRPr="00511CD5" w:rsidRDefault="00621F29" w:rsidP="00680577">
      <w:pPr>
        <w:pStyle w:val="EPBodyTA1"/>
      </w:pPr>
      <w:r w:rsidRPr="00511CD5">
        <w:t>SPREJETA BESEDILA</w:t>
      </w:r>
    </w:p>
    <w:p w:rsidR="00D058B8" w:rsidRPr="00511CD5" w:rsidRDefault="00D058B8" w:rsidP="00D058B8">
      <w:pPr>
        <w:pStyle w:val="LineBottom"/>
      </w:pPr>
    </w:p>
    <w:p w:rsidR="00621F29" w:rsidRPr="00511CD5" w:rsidRDefault="00621F29" w:rsidP="00F65D99">
      <w:pPr>
        <w:pStyle w:val="ATHeading1"/>
      </w:pPr>
      <w:bookmarkStart w:id="0" w:name="TANumber"/>
      <w:r w:rsidRPr="00511CD5">
        <w:t>P10_TA(2024)00</w:t>
      </w:r>
      <w:r w:rsidR="00F65D99" w:rsidRPr="00511CD5">
        <w:t>23</w:t>
      </w:r>
      <w:bookmarkEnd w:id="0"/>
    </w:p>
    <w:p w:rsidR="00621F29" w:rsidRPr="00511CD5" w:rsidRDefault="00621F29" w:rsidP="00621F29">
      <w:pPr>
        <w:pStyle w:val="ATHeading2"/>
      </w:pPr>
      <w:bookmarkStart w:id="1" w:name="title"/>
      <w:r w:rsidRPr="00511CD5">
        <w:t>Predlog spremembe proračuna št. 2/2024: vključitev presežka iz proračunskega leta 2023 v proračun</w:t>
      </w:r>
      <w:bookmarkEnd w:id="1"/>
    </w:p>
    <w:p w:rsidR="00621F29" w:rsidRPr="00511CD5" w:rsidRDefault="00621F29" w:rsidP="00621F29">
      <w:pPr>
        <w:rPr>
          <w:i/>
          <w:vanish/>
        </w:rPr>
      </w:pPr>
      <w:r w:rsidRPr="00511CD5">
        <w:rPr>
          <w:i/>
        </w:rPr>
        <w:fldChar w:fldCharType="begin"/>
      </w:r>
      <w:r w:rsidRPr="00511CD5">
        <w:rPr>
          <w:i/>
        </w:rPr>
        <w:instrText xml:space="preserve"> TC"(</w:instrText>
      </w:r>
      <w:bookmarkStart w:id="2" w:name="DocNumber"/>
      <w:r w:rsidRPr="00511CD5">
        <w:rPr>
          <w:i/>
        </w:rPr>
        <w:instrText>A10-0005/2024</w:instrText>
      </w:r>
      <w:bookmarkEnd w:id="2"/>
      <w:r w:rsidRPr="00511CD5">
        <w:rPr>
          <w:i/>
        </w:rPr>
        <w:instrText xml:space="preserve"> - Poročevalec: Siegfried Mureşan)"\l3 \n&gt; \* MERGEFORMAT </w:instrText>
      </w:r>
      <w:r w:rsidRPr="00511CD5">
        <w:rPr>
          <w:i/>
        </w:rPr>
        <w:fldChar w:fldCharType="end"/>
      </w:r>
    </w:p>
    <w:p w:rsidR="00621F29" w:rsidRPr="00511CD5" w:rsidRDefault="00621F29" w:rsidP="00621F29">
      <w:pPr>
        <w:rPr>
          <w:vanish/>
        </w:rPr>
      </w:pPr>
      <w:bookmarkStart w:id="3" w:name="Commission"/>
      <w:r w:rsidRPr="00511CD5">
        <w:rPr>
          <w:vanish/>
        </w:rPr>
        <w:t>Odbor za proračun</w:t>
      </w:r>
      <w:bookmarkEnd w:id="3"/>
    </w:p>
    <w:p w:rsidR="00621F29" w:rsidRPr="00511CD5" w:rsidRDefault="00621F29" w:rsidP="00621F29">
      <w:pPr>
        <w:rPr>
          <w:vanish/>
        </w:rPr>
      </w:pPr>
      <w:bookmarkStart w:id="4" w:name="PE"/>
      <w:r w:rsidRPr="00511CD5">
        <w:rPr>
          <w:vanish/>
        </w:rPr>
        <w:t>PE763.033</w:t>
      </w:r>
      <w:bookmarkEnd w:id="4"/>
    </w:p>
    <w:p w:rsidR="00621F29" w:rsidRPr="00511CD5" w:rsidRDefault="00621F29" w:rsidP="00621F29">
      <w:pPr>
        <w:pStyle w:val="ATHeading3"/>
      </w:pPr>
      <w:bookmarkStart w:id="5" w:name="Sujet"/>
      <w:r w:rsidRPr="00511CD5">
        <w:t>Resolucija Evropskega parlamenta z dne 22. oktobra 2024 o stališču Sveta o predlogu spremembe proračuna št. 2/2024 k splošnemu proračunu za leto 2024: vključitev presežka iz proračunskega leta 2023 v proračun</w:t>
      </w:r>
      <w:bookmarkEnd w:id="5"/>
      <w:r w:rsidRPr="00511CD5">
        <w:t xml:space="preserve"> </w:t>
      </w:r>
      <w:bookmarkStart w:id="6" w:name="References"/>
      <w:r w:rsidRPr="00511CD5">
        <w:t>(12081/2024 – C10-0107/2024 – 2024/0089(BUD))</w:t>
      </w:r>
      <w:bookmarkEnd w:id="6"/>
    </w:p>
    <w:p w:rsidR="00961673" w:rsidRPr="00511CD5" w:rsidRDefault="00961673" w:rsidP="00961673">
      <w:pPr>
        <w:pStyle w:val="EPComma"/>
      </w:pPr>
      <w:bookmarkStart w:id="7" w:name="TextBodyBegin"/>
      <w:bookmarkEnd w:id="7"/>
      <w:r w:rsidRPr="00511CD5">
        <w:rPr>
          <w:i/>
        </w:rPr>
        <w:t>Evropski parlament</w:t>
      </w:r>
      <w:r w:rsidRPr="00511CD5">
        <w:t>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člena 314 Pogodbe o delovanju Evropske unije,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člena 106a Pogodbe o ustanovitvi Evropske skupnosti za atomsko energijo,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Uredbe (EU, Euratom) 2018/1046 Evropskega parlamenta in Sveta z dne 18. julija 2018 o finančnih pravilih, ki se uporabljajo za splošni proračun Unije, spremembi uredb (EU) št. 1296/2013, (EU) št. 1301/2013, (EU) št. 1303/2013, (EU) št. 1304/2013, (EU) št. 1309/2013, (EU) št. 1316/2013, (EU) št. 223/2014, (EU) št. 283/2014 in Sklepa št. 541/2014/EU ter razveljavitvi Uredbe (EU, Euratom) št. 966/2012</w:t>
      </w:r>
      <w:r w:rsidRPr="00511CD5">
        <w:rPr>
          <w:rStyle w:val="FootnoteReference"/>
        </w:rPr>
        <w:footnoteReference w:id="1"/>
      </w:r>
      <w:r w:rsidRPr="00511CD5">
        <w:t xml:space="preserve"> in zlasti člena 44 Uredbe,</w:t>
      </w:r>
    </w:p>
    <w:p w:rsidR="00593809" w:rsidRPr="00511CD5" w:rsidRDefault="00593809" w:rsidP="00593809">
      <w:pPr>
        <w:pStyle w:val="NormalHanging12a"/>
      </w:pPr>
      <w:r w:rsidRPr="00511CD5">
        <w:t>–</w:t>
      </w:r>
      <w:r w:rsidRPr="00511CD5">
        <w:tab/>
        <w:t>ob upoštevanju Uredbe (EU, Euratom) 2024/2509 Evropski parlament in Sveta z dne 23. septembra 2024 o finančnih pravilih, ki se uporabljajo za splošni proračun Unije</w:t>
      </w:r>
      <w:r w:rsidRPr="00511CD5">
        <w:rPr>
          <w:rStyle w:val="FootnoteReference"/>
        </w:rPr>
        <w:footnoteReference w:id="2"/>
      </w:r>
      <w:r w:rsidR="00924F4A" w:rsidRPr="00511CD5">
        <w:t>,</w:t>
      </w:r>
      <w:r w:rsidRPr="00511CD5">
        <w:t xml:space="preserve"> in zlasti člena 44 Uredbe,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splošnega proračuna Evropske unije za proračunsko leto 2024, kot je bil dokončno sprejet dne 22. novembra 2023</w:t>
      </w:r>
      <w:r w:rsidRPr="00511CD5">
        <w:rPr>
          <w:rStyle w:val="FootnoteReference"/>
        </w:rPr>
        <w:footnoteReference w:id="3"/>
      </w:r>
      <w:r w:rsidRPr="00511CD5">
        <w:t>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Uredbe Sveta (EU, Euratom) 2020/2093 z dne 17. decembra 2020 o določitvi večletnega finančnega okvira za obdobje 2021–2027</w:t>
      </w:r>
      <w:r w:rsidRPr="00511CD5">
        <w:rPr>
          <w:rStyle w:val="FootnoteReference"/>
        </w:rPr>
        <w:footnoteReference w:id="4"/>
      </w:r>
      <w:r w:rsidRPr="00511CD5">
        <w:t>,</w:t>
      </w:r>
    </w:p>
    <w:p w:rsidR="00961673" w:rsidRPr="00511CD5" w:rsidRDefault="00961673" w:rsidP="003C450F">
      <w:pPr>
        <w:pStyle w:val="NormalHanging12a"/>
      </w:pPr>
      <w:r w:rsidRPr="00511CD5">
        <w:lastRenderedPageBreak/>
        <w:t>–</w:t>
      </w:r>
      <w:r w:rsidRPr="00511CD5">
        <w:tab/>
        <w:t>ob upoštevanju Medinstitucionalnega sporazuma z dne 16. decembra 2020 med Evropskim parlamentom, Svetom Evropske unije in Evropsko komisijo o proračunski disciplini, sodelovanju v proračunskih zadevah in dobrem finančnem poslovodenju ter novih virih lastnih sredstev, vključno s časovnim načrtom za uvedbo novih virov lastnih sredstev</w:t>
      </w:r>
      <w:r w:rsidRPr="00511CD5">
        <w:rPr>
          <w:rStyle w:val="FootnoteReference"/>
        </w:rPr>
        <w:footnoteReference w:id="5"/>
      </w:r>
      <w:r w:rsidRPr="00511CD5">
        <w:t>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Sklepa Sveta (EU, Euratom) 2020/2053 z dne 14. decembra 2020 o sistemu virov lastnih sredstev Evropske unije in razveljavitvi Sklepa 2014/335/EU, Euratom</w:t>
      </w:r>
      <w:r w:rsidRPr="00511CD5">
        <w:rPr>
          <w:rStyle w:val="FootnoteReference"/>
        </w:rPr>
        <w:footnoteReference w:id="6"/>
      </w:r>
      <w:r w:rsidRPr="00511CD5">
        <w:t>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predloga spremembe proračuna št. 2/2024, ki ga je Komisija sprejela 9. aprila 2024 (COM(2024)0920),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stališča o predlogu spremembe proračuna št. 2/2024, ki ga je Svet sprejel 13. septembra 2024 in ga 16. septembra 2024 posredoval Evropskemu parlamentu (12081/2024 – C10</w:t>
      </w:r>
      <w:r w:rsidRPr="00511CD5">
        <w:noBreakHyphen/>
        <w:t>0107/2024),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člena 96 in 98 Poslovnika,</w:t>
      </w:r>
    </w:p>
    <w:p w:rsidR="00961673" w:rsidRPr="00511CD5" w:rsidRDefault="00961673" w:rsidP="003C450F">
      <w:pPr>
        <w:pStyle w:val="NormalHanging12a"/>
      </w:pPr>
      <w:r w:rsidRPr="00511CD5">
        <w:t>–</w:t>
      </w:r>
      <w:r w:rsidRPr="00511CD5">
        <w:tab/>
        <w:t>ob upoštevanju poročila Odbora za proračun (A10</w:t>
      </w:r>
      <w:r w:rsidRPr="00511CD5">
        <w:noBreakHyphen/>
        <w:t>0005/2024),</w:t>
      </w:r>
    </w:p>
    <w:p w:rsidR="00961673" w:rsidRPr="00511CD5" w:rsidRDefault="00961673" w:rsidP="003C450F">
      <w:pPr>
        <w:pStyle w:val="NormalHanging12a"/>
      </w:pPr>
      <w:r w:rsidRPr="00511CD5">
        <w:t>A.</w:t>
      </w:r>
      <w:r w:rsidRPr="00511CD5">
        <w:tab/>
        <w:t>ker se s predlogom spremembe proračuna št. 2/2024 v proračun za leto 2024 vključi presežek iz proračunskega leta 2023 v znesku 633 milijonov EUR;</w:t>
      </w:r>
    </w:p>
    <w:p w:rsidR="00961673" w:rsidRPr="00511CD5" w:rsidRDefault="00961673" w:rsidP="003C450F">
      <w:pPr>
        <w:pStyle w:val="NormalHanging12a"/>
      </w:pPr>
      <w:r w:rsidRPr="00511CD5">
        <w:t>B.</w:t>
      </w:r>
      <w:r w:rsidRPr="00511CD5">
        <w:tab/>
        <w:t>ker sta glavna elementa tega presežka pozitivna realizacija pri prihodkih v višini 238,7 milijona EUR in neporabljena sredstva v višini 393,9 milijona EUR;</w:t>
      </w:r>
    </w:p>
    <w:p w:rsidR="00961673" w:rsidRPr="00511CD5" w:rsidRDefault="00961673" w:rsidP="003C450F">
      <w:pPr>
        <w:pStyle w:val="NormalHanging12a"/>
      </w:pPr>
      <w:r w:rsidRPr="00511CD5">
        <w:t>C.</w:t>
      </w:r>
      <w:r w:rsidRPr="00511CD5">
        <w:tab/>
        <w:t>ker je presežek na strani prihodkov predvsem posledica finančnih prihodkov v višini 1766 milijonov EUR, zamudnih obresti in glob, medtem ko so bile carinske dajatve za 1649 milijonov EUR nižje od pričakovanega zneska; ker je presežek upravnih prihodkov v višini 107 milijonov EUR mogoče pripisati predvsem stopnji pokojninskih prispevkov, ki je bila višja od predvidene, in vmesnemu povišanju plač januarja 2023, s čimer se je povečala raven davkov in dajatev ter pokojninskih prispevkov;</w:t>
      </w:r>
    </w:p>
    <w:p w:rsidR="00961673" w:rsidRPr="00511CD5" w:rsidRDefault="00961673" w:rsidP="003C450F">
      <w:pPr>
        <w:pStyle w:val="NormalHanging12a"/>
      </w:pPr>
      <w:r w:rsidRPr="00511CD5">
        <w:t>D.</w:t>
      </w:r>
      <w:r w:rsidRPr="00511CD5">
        <w:tab/>
        <w:t>ker je na strani odhodkov zaradi nezadostnega izvrševanja plačil Komisije ostalo skupaj 70 milijonov EUR (0,1 % odobrenih sredstev za plačila); ker so druge institucije preklicale plačila v višini 48 milijonov EUR, s čimer so ohranile nizko stopnjo nezadostnega izvrševanja iz proračuna za leto 2022;</w:t>
      </w:r>
    </w:p>
    <w:p w:rsidR="00961673" w:rsidRPr="00511CD5" w:rsidRDefault="00961673" w:rsidP="003C450F">
      <w:pPr>
        <w:widowControl/>
        <w:spacing w:after="240"/>
        <w:ind w:left="567" w:hanging="567"/>
      </w:pPr>
      <w:r w:rsidRPr="00511CD5">
        <w:t>E.</w:t>
      </w:r>
      <w:r w:rsidRPr="00511CD5">
        <w:tab/>
        <w:t>ker v predlogu spremembe proračuna št. 2/2024 letno pavšalno znižanje vplačil na osnovi BND za Nemčijo, Nizozemsko, Dansko, Švedsko in Avstrijo znaša približno 5,4 milijarde EUR neto;</w:t>
      </w:r>
    </w:p>
    <w:p w:rsidR="00961673" w:rsidRPr="00511CD5" w:rsidRDefault="00961673" w:rsidP="003C450F">
      <w:pPr>
        <w:spacing w:after="240"/>
        <w:ind w:left="567" w:hanging="567"/>
        <w:rPr>
          <w:szCs w:val="24"/>
        </w:rPr>
      </w:pPr>
      <w:r w:rsidRPr="00511CD5">
        <w:t>F.</w:t>
      </w:r>
      <w:r w:rsidRPr="00511CD5">
        <w:tab/>
        <w:t xml:space="preserve">ker kljub reviziji večletnega finančnega okvira in uvedbi novega instrumenta EURI za kritje višjih stroškov izposojanja za Instrument Evropske unije za okrevanje v proračunu Unije, razlike do zgornje meje in prožnost ostajajo zelo majhne in so same po sebi nestanovitne, kar povzroča negotovost za proračun; ker se v teh zahtevnih razmerah </w:t>
      </w:r>
      <w:r w:rsidRPr="00511CD5">
        <w:lastRenderedPageBreak/>
        <w:t>proračunske potrebe povečujejo;</w:t>
      </w:r>
    </w:p>
    <w:p w:rsidR="00961673" w:rsidRPr="00511CD5" w:rsidRDefault="00961673" w:rsidP="003C450F">
      <w:pPr>
        <w:pStyle w:val="NormalHanging12a"/>
      </w:pPr>
      <w:r w:rsidRPr="00511CD5">
        <w:t>1.</w:t>
      </w:r>
      <w:r w:rsidRPr="00511CD5">
        <w:tab/>
        <w:t>je seznanjen s predlogom spremembe proračuna št. 2/2024, kot ga je predložila Komisija, in je namenjen vključitvi presežka iz leta 2023 v višini 633 milijonov EUR v proračun v skladu s členom 18(3) finančne uredbe;</w:t>
      </w:r>
    </w:p>
    <w:p w:rsidR="00961673" w:rsidRPr="00511CD5" w:rsidRDefault="00961673" w:rsidP="003C450F">
      <w:pPr>
        <w:pStyle w:val="NormalHanging12a"/>
      </w:pPr>
      <w:r w:rsidRPr="00511CD5">
        <w:t>2.</w:t>
      </w:r>
      <w:r w:rsidRPr="00511CD5">
        <w:tab/>
        <w:t>pozdravlja, da je presežek za leto 2023 znatno nižji od presežka iz leta 2022, kar kaže na boljše proračunske napovedi in upravljanje s strani Komisije;</w:t>
      </w:r>
    </w:p>
    <w:p w:rsidR="00961673" w:rsidRPr="00511CD5" w:rsidRDefault="00961673" w:rsidP="003C450F">
      <w:pPr>
        <w:pStyle w:val="NormalHanging12a"/>
      </w:pPr>
      <w:r w:rsidRPr="00511CD5">
        <w:t>3.</w:t>
      </w:r>
      <w:r w:rsidRPr="00511CD5">
        <w:tab/>
        <w:t>poudarja, da presežek zmanjšuje skupni prispevek držav članic k financiranju proračuna za leto 2024 v času, ko so potrebe po financiranju še vedno velike, manevrski prostor v proračunu Unije pa je zelo omejen; poudarja, da mora proračun ostati dovolj prožen, da bo Uniji omogočil obvladovanje nepredvidenih dogodkov in novih nastajajočih prednostnih nalog;</w:t>
      </w:r>
    </w:p>
    <w:p w:rsidR="00961673" w:rsidRPr="00511CD5" w:rsidRDefault="00961673" w:rsidP="003C450F">
      <w:pPr>
        <w:pStyle w:val="NormalHanging12a"/>
      </w:pPr>
      <w:r w:rsidRPr="00511CD5">
        <w:t>4.</w:t>
      </w:r>
      <w:r w:rsidRPr="00511CD5">
        <w:tab/>
        <w:t>opozarja na svoje dolgoletno stališče, da bi morale biti globe in pristojbine dodaten prihodek v proračun Unije, ne da bi se na njihov račun zmanjšali prispevki iz naslova BND;</w:t>
      </w:r>
    </w:p>
    <w:p w:rsidR="00961673" w:rsidRPr="00511CD5" w:rsidRDefault="00961673" w:rsidP="003C450F">
      <w:pPr>
        <w:widowControl/>
        <w:spacing w:after="240"/>
        <w:ind w:left="567" w:hanging="567"/>
      </w:pPr>
      <w:r w:rsidRPr="00511CD5">
        <w:t>5.</w:t>
      </w:r>
      <w:r w:rsidRPr="00511CD5">
        <w:tab/>
        <w:t>je seznanjen z izračunom prilagojenega letnega pavšalnega znižanja prispevkov iz naslova BND za pet držav članic upravičenk, ki znaša približno 5,4 milijarde EUR neto; poudarja, da so ta znižanja povezana z inflacijo in so se zato povečevala bolj kot zgornje meje večletnega finančnega okvira, ki se letno prilagajajo na podlagi 2-odstotnega deflatorja; poudarja, da to odstopanje povečuje breme za druge države članice;</w:t>
      </w:r>
    </w:p>
    <w:p w:rsidR="00961673" w:rsidRPr="00511CD5" w:rsidRDefault="00961673" w:rsidP="003C450F">
      <w:pPr>
        <w:pStyle w:val="NormalHanging12a"/>
        <w:rPr>
          <w:szCs w:val="24"/>
        </w:rPr>
      </w:pPr>
      <w:r w:rsidRPr="00511CD5">
        <w:t>6.</w:t>
      </w:r>
      <w:r w:rsidRPr="00511CD5">
        <w:tab/>
        <w:t xml:space="preserve">poudarja, da proračun Unije potrebuje trajnostne prihodke; zato obžaluje, da Svet ni dosegel napredka pri reformi sistema virov lastnih sredstev </w:t>
      </w:r>
      <w:r w:rsidRPr="00511CD5">
        <w:rPr>
          <w:color w:val="1E1E1F"/>
          <w:shd w:val="clear" w:color="auto" w:fill="FFFFFF"/>
        </w:rPr>
        <w:t>v skladu s časovnim načrtom iz medinstitucionalnega sporazuma; o</w:t>
      </w:r>
      <w:r w:rsidRPr="00511CD5">
        <w:t xml:space="preserve">pozarja </w:t>
      </w:r>
      <w:r w:rsidRPr="00511CD5">
        <w:rPr>
          <w:color w:val="1E1E1F"/>
          <w:shd w:val="clear" w:color="auto" w:fill="FFFFFF"/>
        </w:rPr>
        <w:t>na svoje stališče v podporo spremenjenim predlogom Komisije in p</w:t>
      </w:r>
      <w:r w:rsidRPr="00511CD5">
        <w:t>oziva Svet, naj jih hitro sprejme, da bi povečali lastna sredstva, ki so na voljo za proračun Unije;</w:t>
      </w:r>
    </w:p>
    <w:p w:rsidR="00961673" w:rsidRPr="00511CD5" w:rsidRDefault="00961673" w:rsidP="003C450F">
      <w:pPr>
        <w:pStyle w:val="NormalHanging12a"/>
      </w:pPr>
      <w:r w:rsidRPr="00511CD5">
        <w:t>7.</w:t>
      </w:r>
      <w:r w:rsidRPr="00511CD5">
        <w:tab/>
        <w:t>odobri stališče Sveta o predlogu spremembe proračuna št. 2/2024;</w:t>
      </w:r>
    </w:p>
    <w:p w:rsidR="00961673" w:rsidRPr="00511CD5" w:rsidRDefault="00961673" w:rsidP="003C450F">
      <w:pPr>
        <w:pStyle w:val="NormalHanging12a"/>
      </w:pPr>
      <w:r w:rsidRPr="00511CD5">
        <w:t>8.</w:t>
      </w:r>
      <w:r w:rsidRPr="00511CD5">
        <w:tab/>
        <w:t xml:space="preserve">naroči svoji predsednici, naj razglasi, da je sprememba proračuna št. </w:t>
      </w:r>
      <w:r w:rsidR="00593809" w:rsidRPr="00511CD5">
        <w:t>3</w:t>
      </w:r>
      <w:r w:rsidRPr="00511CD5">
        <w:t xml:space="preserve">/2024 dokončno sprejeta, in poskrbi za njeno objavo v </w:t>
      </w:r>
      <w:r w:rsidRPr="00511CD5">
        <w:rPr>
          <w:i/>
        </w:rPr>
        <w:t>Uradnem listu Evropske unije</w:t>
      </w:r>
      <w:r w:rsidRPr="00511CD5">
        <w:t>;</w:t>
      </w:r>
    </w:p>
    <w:p w:rsidR="00E365E1" w:rsidRPr="00511CD5" w:rsidRDefault="00961673" w:rsidP="003C450F">
      <w:pPr>
        <w:pStyle w:val="NormalHanging12a"/>
      </w:pPr>
      <w:r w:rsidRPr="00511CD5">
        <w:t>9.</w:t>
      </w:r>
      <w:r w:rsidRPr="00511CD5">
        <w:tab/>
        <w:t>naroči svoji predsednici, naj to resolucijo posreduje Svetu in Komisiji, drugim ustreznim institucijam in organom ter nacionalnim parlamentom.</w:t>
      </w:r>
      <w:bookmarkStart w:id="9" w:name="TextBodyEnd"/>
      <w:bookmarkEnd w:id="9"/>
    </w:p>
    <w:sectPr w:rsidR="00E365E1" w:rsidRPr="00511CD5" w:rsidSect="000450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F29" w:rsidRPr="000450CD" w:rsidRDefault="00621F29">
      <w:r w:rsidRPr="000450CD">
        <w:separator/>
      </w:r>
    </w:p>
  </w:endnote>
  <w:endnote w:type="continuationSeparator" w:id="0">
    <w:p w:rsidR="00621F29" w:rsidRPr="000450CD" w:rsidRDefault="00621F29">
      <w:r w:rsidRPr="000450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50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50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50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F29" w:rsidRPr="000450CD" w:rsidRDefault="00621F29">
      <w:r w:rsidRPr="000450CD">
        <w:separator/>
      </w:r>
    </w:p>
  </w:footnote>
  <w:footnote w:type="continuationSeparator" w:id="0">
    <w:p w:rsidR="00621F29" w:rsidRPr="000450CD" w:rsidRDefault="00621F29">
      <w:r w:rsidRPr="000450CD">
        <w:continuationSeparator/>
      </w:r>
    </w:p>
  </w:footnote>
  <w:footnote w:id="1">
    <w:p w:rsidR="00961673" w:rsidRPr="000450CD" w:rsidRDefault="00961673" w:rsidP="000450CD">
      <w:pPr>
        <w:pStyle w:val="FootnoteText"/>
        <w:ind w:left="567" w:hanging="567"/>
        <w:rPr>
          <w:sz w:val="24"/>
          <w:lang w:val="sl-SI"/>
        </w:rPr>
      </w:pPr>
      <w:r w:rsidRPr="000450CD">
        <w:rPr>
          <w:rStyle w:val="FootnoteReference"/>
          <w:sz w:val="24"/>
          <w:lang w:val="sl-SI"/>
        </w:rPr>
        <w:footnoteRef/>
      </w:r>
      <w:r w:rsidR="000450CD" w:rsidRPr="000450CD">
        <w:rPr>
          <w:sz w:val="24"/>
          <w:lang w:val="sl-SI"/>
        </w:rPr>
        <w:t xml:space="preserve"> </w:t>
      </w:r>
      <w:r w:rsidR="000450CD" w:rsidRPr="000450CD">
        <w:rPr>
          <w:sz w:val="24"/>
          <w:lang w:val="sl-SI"/>
        </w:rPr>
        <w:tab/>
      </w:r>
      <w:r w:rsidRPr="000450CD">
        <w:rPr>
          <w:sz w:val="24"/>
          <w:lang w:val="sl-SI"/>
        </w:rPr>
        <w:t xml:space="preserve">UL L 193, 30.7.2018, str. 1, ELI: </w:t>
      </w:r>
      <w:hyperlink r:id="rId1" w:history="1">
        <w:r w:rsidRPr="000450CD">
          <w:rPr>
            <w:rStyle w:val="Hyperlink"/>
            <w:sz w:val="24"/>
            <w:lang w:val="sl-SI"/>
          </w:rPr>
          <w:t>http://data.europa.e</w:t>
        </w:r>
        <w:r w:rsidRPr="000450CD">
          <w:rPr>
            <w:rStyle w:val="Hyperlink"/>
            <w:sz w:val="24"/>
            <w:lang w:val="sl-SI"/>
          </w:rPr>
          <w:t>u</w:t>
        </w:r>
        <w:r w:rsidRPr="000450CD">
          <w:rPr>
            <w:rStyle w:val="Hyperlink"/>
            <w:sz w:val="24"/>
            <w:lang w:val="sl-SI"/>
          </w:rPr>
          <w:t>/eli/reg/2018/1046/oj</w:t>
        </w:r>
      </w:hyperlink>
      <w:r w:rsidRPr="000450CD">
        <w:rPr>
          <w:sz w:val="24"/>
          <w:lang w:val="sl-SI"/>
        </w:rPr>
        <w:t>.</w:t>
      </w:r>
    </w:p>
  </w:footnote>
  <w:footnote w:id="2">
    <w:p w:rsidR="00593809" w:rsidRPr="00835DF4" w:rsidRDefault="00593809" w:rsidP="00593809">
      <w:pPr>
        <w:pStyle w:val="FootnoteText"/>
        <w:ind w:left="567" w:hanging="567"/>
        <w:rPr>
          <w:sz w:val="24"/>
          <w:szCs w:val="24"/>
          <w:lang w:val="fi-FI"/>
        </w:rPr>
      </w:pPr>
      <w:r w:rsidRPr="00835DF4"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ab/>
        <w:t>UL</w:t>
      </w:r>
      <w:r w:rsidRPr="00835DF4">
        <w:rPr>
          <w:sz w:val="24"/>
          <w:szCs w:val="24"/>
          <w:lang w:val="fi-FI"/>
        </w:rPr>
        <w:t xml:space="preserve"> L, 2024/2509, 26.9.2024, ELI: </w:t>
      </w:r>
      <w:hyperlink r:id="rId2" w:history="1">
        <w:r w:rsidRPr="002F02E8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835DF4">
        <w:rPr>
          <w:sz w:val="24"/>
          <w:szCs w:val="24"/>
          <w:lang w:val="fi-FI"/>
        </w:rPr>
        <w:t>.</w:t>
      </w:r>
    </w:p>
  </w:footnote>
  <w:footnote w:id="3">
    <w:p w:rsidR="00961673" w:rsidRPr="000450CD" w:rsidRDefault="00961673" w:rsidP="000450CD">
      <w:pPr>
        <w:pStyle w:val="FootnoteText"/>
        <w:ind w:left="567" w:hanging="567"/>
        <w:rPr>
          <w:sz w:val="24"/>
          <w:lang w:val="sl-SI"/>
        </w:rPr>
      </w:pPr>
      <w:r w:rsidRPr="000450CD">
        <w:rPr>
          <w:rStyle w:val="FootnoteReference"/>
          <w:sz w:val="24"/>
          <w:lang w:val="sl-SI"/>
        </w:rPr>
        <w:footnoteRef/>
      </w:r>
      <w:r w:rsidR="000450CD" w:rsidRPr="000450CD">
        <w:rPr>
          <w:sz w:val="24"/>
          <w:lang w:val="sl-SI"/>
        </w:rPr>
        <w:t xml:space="preserve"> </w:t>
      </w:r>
      <w:r w:rsidR="000450CD" w:rsidRPr="000450CD">
        <w:rPr>
          <w:sz w:val="24"/>
          <w:lang w:val="sl-SI"/>
        </w:rPr>
        <w:tab/>
      </w:r>
      <w:r w:rsidRPr="000450CD">
        <w:rPr>
          <w:sz w:val="24"/>
          <w:lang w:val="sl-SI"/>
        </w:rPr>
        <w:t xml:space="preserve">UL </w:t>
      </w:r>
      <w:r w:rsidRPr="000450CD">
        <w:rPr>
          <w:sz w:val="24"/>
          <w:lang w:val="sl-SI"/>
        </w:rPr>
        <w:t>L</w:t>
      </w:r>
      <w:r w:rsidR="002F02E8">
        <w:rPr>
          <w:sz w:val="24"/>
          <w:lang w:val="sl-SI"/>
        </w:rPr>
        <w:t>,</w:t>
      </w:r>
      <w:bookmarkStart w:id="8" w:name="_GoBack"/>
      <w:bookmarkEnd w:id="8"/>
      <w:r w:rsidRPr="000450CD">
        <w:rPr>
          <w:sz w:val="24"/>
          <w:lang w:val="sl-SI"/>
        </w:rPr>
        <w:t xml:space="preserve"> 2024/207, 22.2.2024, ELI: </w:t>
      </w:r>
      <w:hyperlink r:id="rId3" w:history="1">
        <w:r w:rsidRPr="000450CD">
          <w:rPr>
            <w:rStyle w:val="Hyperlink"/>
            <w:sz w:val="24"/>
            <w:lang w:val="sl-SI"/>
          </w:rPr>
          <w:t>http:</w:t>
        </w:r>
        <w:r w:rsidRPr="000450CD">
          <w:rPr>
            <w:rStyle w:val="Hyperlink"/>
            <w:sz w:val="24"/>
            <w:lang w:val="sl-SI"/>
          </w:rPr>
          <w:t>/</w:t>
        </w:r>
        <w:r w:rsidRPr="000450CD">
          <w:rPr>
            <w:rStyle w:val="Hyperlink"/>
            <w:sz w:val="24"/>
            <w:lang w:val="sl-SI"/>
          </w:rPr>
          <w:t>/data.europa.eu/eli/budget/2024/207/oj</w:t>
        </w:r>
      </w:hyperlink>
      <w:r w:rsidRPr="000450CD">
        <w:rPr>
          <w:sz w:val="24"/>
          <w:lang w:val="sl-SI"/>
        </w:rPr>
        <w:t>.</w:t>
      </w:r>
    </w:p>
  </w:footnote>
  <w:footnote w:id="4">
    <w:p w:rsidR="00961673" w:rsidRPr="000450CD" w:rsidRDefault="00961673" w:rsidP="000450CD">
      <w:pPr>
        <w:pStyle w:val="FootnoteText"/>
        <w:ind w:left="567" w:hanging="567"/>
        <w:rPr>
          <w:sz w:val="24"/>
          <w:lang w:val="sl-SI"/>
        </w:rPr>
      </w:pPr>
      <w:r w:rsidRPr="000450CD">
        <w:rPr>
          <w:rStyle w:val="FootnoteReference"/>
          <w:sz w:val="24"/>
          <w:lang w:val="sl-SI"/>
        </w:rPr>
        <w:footnoteRef/>
      </w:r>
      <w:r w:rsidR="000450CD" w:rsidRPr="000450CD">
        <w:rPr>
          <w:sz w:val="24"/>
          <w:lang w:val="sl-SI"/>
        </w:rPr>
        <w:t xml:space="preserve"> </w:t>
      </w:r>
      <w:r w:rsidR="000450CD" w:rsidRPr="000450CD">
        <w:rPr>
          <w:sz w:val="24"/>
          <w:lang w:val="sl-SI"/>
        </w:rPr>
        <w:tab/>
      </w:r>
      <w:r w:rsidRPr="000450CD">
        <w:rPr>
          <w:sz w:val="24"/>
          <w:lang w:val="sl-SI"/>
        </w:rPr>
        <w:t xml:space="preserve">UL L 433 I, 22.12.2020, str. 11, ELI: </w:t>
      </w:r>
      <w:hyperlink r:id="rId4" w:history="1">
        <w:r w:rsidRPr="000450CD">
          <w:rPr>
            <w:rStyle w:val="Hyperlink"/>
            <w:sz w:val="24"/>
            <w:lang w:val="sl-SI"/>
          </w:rPr>
          <w:t>http://data.europa.eu/eli/reg/2020/433/oj</w:t>
        </w:r>
      </w:hyperlink>
      <w:r w:rsidRPr="000450CD">
        <w:rPr>
          <w:sz w:val="24"/>
          <w:lang w:val="sl-SI"/>
        </w:rPr>
        <w:t>.</w:t>
      </w:r>
    </w:p>
  </w:footnote>
  <w:footnote w:id="5">
    <w:p w:rsidR="00961673" w:rsidRPr="000450CD" w:rsidRDefault="00961673" w:rsidP="000450CD">
      <w:pPr>
        <w:pStyle w:val="FootnoteText"/>
        <w:ind w:left="567" w:hanging="567"/>
        <w:rPr>
          <w:sz w:val="24"/>
          <w:lang w:val="sl-SI"/>
        </w:rPr>
      </w:pPr>
      <w:r w:rsidRPr="000450CD">
        <w:rPr>
          <w:rStyle w:val="FootnoteReference"/>
          <w:sz w:val="24"/>
          <w:lang w:val="sl-SI"/>
        </w:rPr>
        <w:footnoteRef/>
      </w:r>
      <w:r w:rsidR="000450CD" w:rsidRPr="000450CD">
        <w:rPr>
          <w:sz w:val="24"/>
          <w:lang w:val="sl-SI"/>
        </w:rPr>
        <w:t xml:space="preserve"> </w:t>
      </w:r>
      <w:r w:rsidR="000450CD" w:rsidRPr="000450CD">
        <w:rPr>
          <w:sz w:val="24"/>
          <w:lang w:val="sl-SI"/>
        </w:rPr>
        <w:tab/>
      </w:r>
      <w:r w:rsidRPr="000450CD">
        <w:rPr>
          <w:sz w:val="24"/>
          <w:lang w:val="sl-SI"/>
        </w:rPr>
        <w:t xml:space="preserve">UL L 433 I, 22.12.2020, str. 28, ELI: </w:t>
      </w:r>
      <w:hyperlink r:id="rId5" w:history="1">
        <w:r w:rsidRPr="000450CD">
          <w:rPr>
            <w:rStyle w:val="Hyperlink"/>
            <w:sz w:val="24"/>
            <w:lang w:val="sl-SI"/>
          </w:rPr>
          <w:t>http://data.europa.eu/eli/agree_interinstit/2020/1222/oj</w:t>
        </w:r>
      </w:hyperlink>
      <w:r w:rsidRPr="000450CD">
        <w:rPr>
          <w:sz w:val="24"/>
          <w:lang w:val="sl-SI"/>
        </w:rPr>
        <w:t>.</w:t>
      </w:r>
    </w:p>
  </w:footnote>
  <w:footnote w:id="6">
    <w:p w:rsidR="00961673" w:rsidRPr="000450CD" w:rsidRDefault="00961673" w:rsidP="000450CD">
      <w:pPr>
        <w:pStyle w:val="FootnoteText"/>
        <w:ind w:left="567" w:hanging="567"/>
        <w:rPr>
          <w:sz w:val="24"/>
          <w:lang w:val="sl-SI"/>
        </w:rPr>
      </w:pPr>
      <w:r w:rsidRPr="000450CD">
        <w:rPr>
          <w:rStyle w:val="FootnoteReference"/>
          <w:sz w:val="24"/>
          <w:lang w:val="sl-SI"/>
        </w:rPr>
        <w:footnoteRef/>
      </w:r>
      <w:r w:rsidR="000450CD" w:rsidRPr="000450CD">
        <w:rPr>
          <w:sz w:val="24"/>
          <w:lang w:val="sl-SI"/>
        </w:rPr>
        <w:t xml:space="preserve"> </w:t>
      </w:r>
      <w:r w:rsidR="000450CD" w:rsidRPr="000450CD">
        <w:rPr>
          <w:sz w:val="24"/>
          <w:lang w:val="sl-SI"/>
        </w:rPr>
        <w:tab/>
      </w:r>
      <w:r w:rsidRPr="000450CD">
        <w:rPr>
          <w:sz w:val="24"/>
          <w:lang w:val="sl-SI"/>
        </w:rPr>
        <w:t>UL L 424, 15.12.2020,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50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50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450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SL"/>
    <w:docVar w:name="dvnumam" w:val="0"/>
    <w:docVar w:name="dvpe" w:val="763.033"/>
    <w:docVar w:name="dvrapporteur" w:val="Poročevalec: "/>
    <w:docVar w:name="dvtitre" w:val="Resolucija Evropskega parlamenta z dne 22. oktobra 2024 o stališču Sveta o predlogu spremembe proračuna št. 2/2024 k splošnemu proračunu za leto 2024: vključitev presežka iz proračunskega leta 2023 v proračun(12081/2024 – C10-0107/2024 – 2024/0089(BUD))"/>
  </w:docVars>
  <w:rsids>
    <w:rsidRoot w:val="00621F29"/>
    <w:rsid w:val="00002272"/>
    <w:rsid w:val="000450C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02E8"/>
    <w:rsid w:val="00343214"/>
    <w:rsid w:val="00361C00"/>
    <w:rsid w:val="00395FA1"/>
    <w:rsid w:val="003C450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CD5"/>
    <w:rsid w:val="00514517"/>
    <w:rsid w:val="00545827"/>
    <w:rsid w:val="00560270"/>
    <w:rsid w:val="00593809"/>
    <w:rsid w:val="005C2568"/>
    <w:rsid w:val="005F1B17"/>
    <w:rsid w:val="006037C0"/>
    <w:rsid w:val="00621F2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F4A"/>
    <w:rsid w:val="00930C23"/>
    <w:rsid w:val="0093193B"/>
    <w:rsid w:val="009509D8"/>
    <w:rsid w:val="00950B64"/>
    <w:rsid w:val="0096167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D9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2C64D"/>
  <w15:chartTrackingRefBased/>
  <w15:docId w15:val="{DB8C4ED5-87C9-4439-ACA0-61918480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1673"/>
    <w:pPr>
      <w:spacing w:before="480" w:after="240"/>
    </w:pPr>
  </w:style>
  <w:style w:type="paragraph" w:customStyle="1" w:styleId="NormalHanging12a">
    <w:name w:val="NormalHanging12a"/>
    <w:basedOn w:val="Normal"/>
    <w:rsid w:val="00961673"/>
    <w:pPr>
      <w:spacing w:after="240"/>
      <w:ind w:left="567" w:hanging="567"/>
    </w:pPr>
  </w:style>
  <w:style w:type="character" w:styleId="Hyperlink">
    <w:name w:val="Hyperlink"/>
    <w:basedOn w:val="DefaultParagraphFont"/>
    <w:rsid w:val="009616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938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3809"/>
    <w:rPr>
      <w:rFonts w:ascii="Segoe UI" w:hAnsi="Segoe UI" w:cs="Segoe UI"/>
      <w:sz w:val="18"/>
      <w:szCs w:val="18"/>
      <w:lang w:val="sl-SI"/>
    </w:rPr>
  </w:style>
  <w:style w:type="character" w:styleId="FollowedHyperlink">
    <w:name w:val="FollowedHyperlink"/>
    <w:basedOn w:val="DefaultParagraphFont"/>
    <w:rsid w:val="002F02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43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09FBC-2560-47AF-9446-11F5907A4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2024-11-20T10:50:00Z</dcterms:created>
  <dcterms:modified xsi:type="dcterms:W3CDTF">2024-11-20T10:50:00Z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P10_TA(2024)0023_</vt:lpwstr>
  </property>
  <property fmtid="{D5CDD505-2E9C-101B-9397-08002B2CF9AE}" pid="4" name="&lt;Type&gt;">
    <vt:lpwstr>RR</vt:lpwstr>
  </property>
</Properties>
</file>