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468CB" w14:paraId="60E8FD83" w14:textId="77777777" w:rsidTr="0010095E">
        <w:trPr>
          <w:trHeight w:hRule="exact" w:val="1418"/>
        </w:trPr>
        <w:tc>
          <w:tcPr>
            <w:tcW w:w="6804" w:type="dxa"/>
            <w:shd w:val="clear" w:color="auto" w:fill="auto"/>
            <w:vAlign w:val="center"/>
          </w:tcPr>
          <w:p w14:paraId="45502B54" w14:textId="77777777" w:rsidR="00751A4A" w:rsidRPr="000468CB" w:rsidRDefault="0005083F" w:rsidP="0010095E">
            <w:pPr>
              <w:pStyle w:val="EPName"/>
            </w:pPr>
            <w:r w:rsidRPr="000468CB">
              <w:t>Europaparlamentet</w:t>
            </w:r>
          </w:p>
          <w:p w14:paraId="2F9B12A7" w14:textId="77777777" w:rsidR="00751A4A" w:rsidRPr="000468CB" w:rsidRDefault="005F1B17" w:rsidP="005F1B17">
            <w:pPr>
              <w:pStyle w:val="EPTerm"/>
              <w:rPr>
                <w:rStyle w:val="HideTWBExt"/>
                <w:noProof w:val="0"/>
                <w:vanish w:val="0"/>
                <w:color w:val="auto"/>
              </w:rPr>
            </w:pPr>
            <w:r w:rsidRPr="000468CB">
              <w:t>2024</w:t>
            </w:r>
            <w:r w:rsidR="00817416" w:rsidRPr="000468CB">
              <w:t>-202</w:t>
            </w:r>
            <w:r w:rsidRPr="000468CB">
              <w:t>9</w:t>
            </w:r>
          </w:p>
        </w:tc>
        <w:tc>
          <w:tcPr>
            <w:tcW w:w="2268" w:type="dxa"/>
            <w:shd w:val="clear" w:color="auto" w:fill="auto"/>
          </w:tcPr>
          <w:p w14:paraId="6B27620A" w14:textId="77777777" w:rsidR="00751A4A" w:rsidRPr="000468CB" w:rsidRDefault="00187494" w:rsidP="0010095E">
            <w:pPr>
              <w:pStyle w:val="EPLogo"/>
            </w:pPr>
            <w:r w:rsidRPr="000468CB">
              <w:rPr>
                <w:noProof/>
                <w:lang w:val="en-GB"/>
              </w:rPr>
              <w:drawing>
                <wp:inline distT="0" distB="0" distL="0" distR="0" wp14:anchorId="74C8FDE6" wp14:editId="5DC1655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552695F" w14:textId="77777777" w:rsidR="00D058B8" w:rsidRPr="000468CB" w:rsidRDefault="00D058B8" w:rsidP="004C5D52">
      <w:pPr>
        <w:pStyle w:val="LineTop"/>
      </w:pPr>
    </w:p>
    <w:p w14:paraId="25A15919" w14:textId="77777777" w:rsidR="00680577" w:rsidRPr="000468CB" w:rsidRDefault="0005083F" w:rsidP="00680577">
      <w:pPr>
        <w:pStyle w:val="EPBodyTA1"/>
      </w:pPr>
      <w:r w:rsidRPr="000468CB">
        <w:t>ANTAGNA TEXTER</w:t>
      </w:r>
    </w:p>
    <w:p w14:paraId="39E3EA07" w14:textId="77777777" w:rsidR="00D058B8" w:rsidRPr="000468CB" w:rsidRDefault="00D058B8" w:rsidP="00D058B8">
      <w:pPr>
        <w:pStyle w:val="LineBottom"/>
      </w:pPr>
    </w:p>
    <w:p w14:paraId="7795CF21" w14:textId="28D1176E" w:rsidR="0005083F" w:rsidRPr="000468CB" w:rsidRDefault="0005083F" w:rsidP="0005083F">
      <w:pPr>
        <w:pStyle w:val="ATHeading1"/>
      </w:pPr>
      <w:bookmarkStart w:id="0" w:name="TANumber"/>
      <w:r w:rsidRPr="000468CB">
        <w:t>P10_TA(2024)00</w:t>
      </w:r>
      <w:bookmarkEnd w:id="0"/>
      <w:r w:rsidR="00BE433A">
        <w:t>23</w:t>
      </w:r>
    </w:p>
    <w:p w14:paraId="493814DB" w14:textId="77777777" w:rsidR="0005083F" w:rsidRPr="000468CB" w:rsidRDefault="0005083F" w:rsidP="0005083F">
      <w:pPr>
        <w:pStyle w:val="ATHeading2"/>
      </w:pPr>
      <w:bookmarkStart w:id="1" w:name="title"/>
      <w:r w:rsidRPr="000468CB">
        <w:t>Förslag till ändringsbudget nr 2/2024: införande av överskottet från budgetåret 2023</w:t>
      </w:r>
      <w:bookmarkEnd w:id="1"/>
    </w:p>
    <w:p w14:paraId="0784F6BF" w14:textId="77777777" w:rsidR="0005083F" w:rsidRPr="000468CB" w:rsidRDefault="0005083F" w:rsidP="0005083F">
      <w:pPr>
        <w:rPr>
          <w:i/>
          <w:vanish/>
        </w:rPr>
      </w:pPr>
      <w:r w:rsidRPr="000468CB">
        <w:rPr>
          <w:i/>
        </w:rPr>
        <w:fldChar w:fldCharType="begin"/>
      </w:r>
      <w:r w:rsidRPr="000468CB">
        <w:rPr>
          <w:i/>
        </w:rPr>
        <w:instrText xml:space="preserve"> TC"(</w:instrText>
      </w:r>
      <w:bookmarkStart w:id="2" w:name="DocNumber"/>
      <w:r w:rsidRPr="000468CB">
        <w:rPr>
          <w:i/>
        </w:rPr>
        <w:instrText>A10-0005/2024</w:instrText>
      </w:r>
      <w:bookmarkEnd w:id="2"/>
      <w:r w:rsidRPr="000468CB">
        <w:rPr>
          <w:i/>
        </w:rPr>
        <w:instrText xml:space="preserve"> - Föredragande: Siegfried </w:instrText>
      </w:r>
      <w:proofErr w:type="spellStart"/>
      <w:r w:rsidRPr="000468CB">
        <w:rPr>
          <w:i/>
        </w:rPr>
        <w:instrText>Mureşan</w:instrText>
      </w:r>
      <w:proofErr w:type="spellEnd"/>
      <w:r w:rsidRPr="000468CB">
        <w:rPr>
          <w:i/>
        </w:rPr>
        <w:instrText xml:space="preserve">)"\l3 \n&gt; \* MERGEFORMAT </w:instrText>
      </w:r>
      <w:r w:rsidRPr="000468CB">
        <w:rPr>
          <w:i/>
        </w:rPr>
        <w:fldChar w:fldCharType="end"/>
      </w:r>
    </w:p>
    <w:p w14:paraId="12FAA10E" w14:textId="77777777" w:rsidR="0005083F" w:rsidRPr="000468CB" w:rsidRDefault="0005083F" w:rsidP="0005083F">
      <w:pPr>
        <w:rPr>
          <w:vanish/>
        </w:rPr>
      </w:pPr>
      <w:bookmarkStart w:id="3" w:name="Commission"/>
      <w:r w:rsidRPr="000468CB">
        <w:rPr>
          <w:vanish/>
        </w:rPr>
        <w:t>Budgetutskottet</w:t>
      </w:r>
      <w:bookmarkEnd w:id="3"/>
    </w:p>
    <w:p w14:paraId="34015B3F" w14:textId="77777777" w:rsidR="0005083F" w:rsidRPr="000468CB" w:rsidRDefault="0005083F" w:rsidP="0005083F">
      <w:pPr>
        <w:rPr>
          <w:vanish/>
        </w:rPr>
      </w:pPr>
      <w:bookmarkStart w:id="4" w:name="PE"/>
      <w:r w:rsidRPr="000468CB">
        <w:rPr>
          <w:vanish/>
        </w:rPr>
        <w:t>PE763.033</w:t>
      </w:r>
      <w:bookmarkEnd w:id="4"/>
    </w:p>
    <w:p w14:paraId="33164C77" w14:textId="3FBA94D0" w:rsidR="0005083F" w:rsidRPr="000468CB" w:rsidRDefault="0005083F" w:rsidP="0005083F">
      <w:pPr>
        <w:pStyle w:val="ATHeading3"/>
      </w:pPr>
      <w:bookmarkStart w:id="5" w:name="Sujet"/>
      <w:r w:rsidRPr="000468CB">
        <w:t>Europaparlamentets resolution av d</w:t>
      </w:r>
      <w:bookmarkStart w:id="6" w:name="_GoBack"/>
      <w:bookmarkEnd w:id="6"/>
      <w:r w:rsidRPr="000468CB">
        <w:t xml:space="preserve">en </w:t>
      </w:r>
      <w:r w:rsidR="00AB311F" w:rsidRPr="000468CB">
        <w:t xml:space="preserve">22 oktober </w:t>
      </w:r>
      <w:r w:rsidRPr="000468CB">
        <w:t xml:space="preserve">2024 om rådets ståndpunkt om förslaget till Europeiska unionens ändringsbudget nr 2/2024 för budgetåret 2024 – </w:t>
      </w:r>
      <w:r w:rsidR="00E140D3" w:rsidRPr="000468CB">
        <w:t>i</w:t>
      </w:r>
      <w:r w:rsidRPr="000468CB">
        <w:t>nförande av överskottet från budgetåret 2023</w:t>
      </w:r>
      <w:bookmarkEnd w:id="5"/>
      <w:r w:rsidRPr="000468CB">
        <w:t xml:space="preserve"> </w:t>
      </w:r>
      <w:bookmarkStart w:id="7" w:name="References"/>
      <w:r w:rsidRPr="000468CB">
        <w:t>(12081/2024 – C10-0107/2024 – 2024/0089(BUD))</w:t>
      </w:r>
      <w:bookmarkEnd w:id="7"/>
    </w:p>
    <w:p w14:paraId="47B61B44" w14:textId="77777777" w:rsidR="00B22BAE" w:rsidRPr="000468CB" w:rsidRDefault="00B22BAE" w:rsidP="00B22BAE">
      <w:pPr>
        <w:pStyle w:val="EPComma"/>
      </w:pPr>
      <w:bookmarkStart w:id="8" w:name="TextBodyBegin"/>
      <w:bookmarkEnd w:id="8"/>
      <w:r w:rsidRPr="000468CB">
        <w:rPr>
          <w:i/>
          <w:iCs/>
        </w:rPr>
        <w:t>Europaparlamentet utfärdar denna resolution</w:t>
      </w:r>
    </w:p>
    <w:p w14:paraId="3040D858" w14:textId="77777777" w:rsidR="00B22BAE" w:rsidRPr="000468CB" w:rsidRDefault="00B22BAE" w:rsidP="00B22BAE">
      <w:pPr>
        <w:pStyle w:val="NormalHanging12a"/>
      </w:pPr>
      <w:r w:rsidRPr="000468CB">
        <w:t>–</w:t>
      </w:r>
      <w:r w:rsidRPr="000468CB">
        <w:tab/>
        <w:t>med beaktande av artikel 314 i fördraget om Europeiska unionens funktionssätt,</w:t>
      </w:r>
    </w:p>
    <w:p w14:paraId="42B87D3D" w14:textId="77777777" w:rsidR="00B22BAE" w:rsidRPr="000468CB" w:rsidRDefault="00B22BAE" w:rsidP="00B22BAE">
      <w:pPr>
        <w:pStyle w:val="NormalHanging12a"/>
      </w:pPr>
      <w:r w:rsidRPr="000468CB">
        <w:t>–</w:t>
      </w:r>
      <w:r w:rsidRPr="000468CB">
        <w:tab/>
        <w:t>med beaktande av artikel 106a i fördraget om upprättandet av Europeiska atomenergigemenskapen,</w:t>
      </w:r>
    </w:p>
    <w:p w14:paraId="3AA95BC3" w14:textId="77777777" w:rsidR="00B22BAE" w:rsidRPr="000468CB" w:rsidRDefault="00B22BAE" w:rsidP="00B22BAE">
      <w:pPr>
        <w:pStyle w:val="NormalHanging12a"/>
      </w:pPr>
      <w:r w:rsidRPr="000468CB">
        <w:t>–</w:t>
      </w:r>
      <w:r w:rsidRPr="000468CB">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0468CB">
        <w:rPr>
          <w:rStyle w:val="FootnoteReference"/>
        </w:rPr>
        <w:footnoteReference w:id="1"/>
      </w:r>
      <w:r w:rsidRPr="000468CB">
        <w:t>, särskilt artikel 44,</w:t>
      </w:r>
    </w:p>
    <w:p w14:paraId="0E321013" w14:textId="77777777" w:rsidR="00151911" w:rsidRPr="000468CB" w:rsidRDefault="00151911" w:rsidP="00B22BAE">
      <w:pPr>
        <w:pStyle w:val="NormalHanging12a"/>
      </w:pPr>
      <w:r w:rsidRPr="000468CB">
        <w:t>–</w:t>
      </w:r>
      <w:r w:rsidRPr="000468CB">
        <w:tab/>
        <w:t>med beaktande av Europaparlamentets och rådets förordning (EU, Euratom) 2024/2509 av den 23 september 2024 om finansiella regler för unionens allmänna budget</w:t>
      </w:r>
      <w:r w:rsidRPr="000468CB">
        <w:rPr>
          <w:rStyle w:val="FootnoteReference"/>
        </w:rPr>
        <w:footnoteReference w:id="2"/>
      </w:r>
      <w:r w:rsidRPr="000468CB">
        <w:t>, särskilt artikel 44,</w:t>
      </w:r>
    </w:p>
    <w:p w14:paraId="319F6047" w14:textId="77777777" w:rsidR="00B22BAE" w:rsidRPr="000468CB" w:rsidRDefault="00B22BAE" w:rsidP="00B22BAE">
      <w:pPr>
        <w:pStyle w:val="NormalHanging12a"/>
      </w:pPr>
      <w:r w:rsidRPr="000468CB">
        <w:t>–</w:t>
      </w:r>
      <w:r w:rsidRPr="000468CB">
        <w:tab/>
        <w:t>med beaktande av Europeiska unionens allmänna budget för budgetåret 2024, slutgiltigt antagen den 22 november 2023</w:t>
      </w:r>
      <w:r w:rsidRPr="000468CB">
        <w:rPr>
          <w:rStyle w:val="FootnoteReference"/>
        </w:rPr>
        <w:footnoteReference w:id="3"/>
      </w:r>
      <w:r w:rsidRPr="000468CB">
        <w:t>,</w:t>
      </w:r>
    </w:p>
    <w:p w14:paraId="4A3D402F" w14:textId="77777777" w:rsidR="00B22BAE" w:rsidRPr="000468CB" w:rsidRDefault="00B22BAE" w:rsidP="00B22BAE">
      <w:pPr>
        <w:pStyle w:val="NormalHanging12a"/>
      </w:pPr>
      <w:r w:rsidRPr="000468CB">
        <w:t>–</w:t>
      </w:r>
      <w:r w:rsidRPr="000468CB">
        <w:tab/>
        <w:t>med beaktande av rådets förordning (EU, Euratom) 2020/2093 av den 17 december 2020 om den fleråriga budgetramen för 2021–2027</w:t>
      </w:r>
      <w:r w:rsidRPr="000468CB">
        <w:rPr>
          <w:rStyle w:val="FootnoteReference"/>
        </w:rPr>
        <w:footnoteReference w:id="4"/>
      </w:r>
      <w:r w:rsidRPr="000468CB">
        <w:t>,</w:t>
      </w:r>
    </w:p>
    <w:p w14:paraId="2AD4345A" w14:textId="77777777" w:rsidR="00B22BAE" w:rsidRPr="000468CB" w:rsidRDefault="00B22BAE" w:rsidP="00B22BAE">
      <w:pPr>
        <w:pStyle w:val="NormalHanging12a"/>
      </w:pPr>
      <w:r w:rsidRPr="000468CB">
        <w:lastRenderedPageBreak/>
        <w:t>–</w:t>
      </w:r>
      <w:r w:rsidRPr="000468CB">
        <w:tab/>
        <w:t>med beaktande av det interinstitutionella avtalet av den 16 december 2020 mellan Europaparlamentet, Europeiska unionens råd och Europeiska kommissionen om budgetdisciplin, samarbete i budgetfrågor och sund ekonomisk förvaltning samt om nya egna medel, inbegripet en färdplan för införandet av nya egna medel</w:t>
      </w:r>
      <w:r w:rsidRPr="000468CB">
        <w:rPr>
          <w:rStyle w:val="FootnoteReference"/>
        </w:rPr>
        <w:footnoteReference w:id="5"/>
      </w:r>
      <w:r w:rsidRPr="000468CB">
        <w:t>,</w:t>
      </w:r>
    </w:p>
    <w:p w14:paraId="29E91C0A" w14:textId="77777777" w:rsidR="00B22BAE" w:rsidRPr="000468CB" w:rsidRDefault="00B22BAE" w:rsidP="00B22BAE">
      <w:pPr>
        <w:pStyle w:val="NormalHanging12a"/>
      </w:pPr>
      <w:r w:rsidRPr="000468CB">
        <w:t>–</w:t>
      </w:r>
      <w:r w:rsidRPr="000468CB">
        <w:tab/>
        <w:t>med beaktande av rådets beslut (EU, Euratom) 2020/2053 av den 14 december 2020 om systemet för Europeiska unionens egna medel och om upphävande av beslut 2014/335/EU, Euratom</w:t>
      </w:r>
      <w:r w:rsidRPr="000468CB">
        <w:rPr>
          <w:rStyle w:val="FootnoteReference"/>
        </w:rPr>
        <w:footnoteReference w:id="6"/>
      </w:r>
      <w:r w:rsidRPr="000468CB">
        <w:t>,</w:t>
      </w:r>
    </w:p>
    <w:p w14:paraId="6EE58013" w14:textId="77777777" w:rsidR="00B22BAE" w:rsidRPr="000468CB" w:rsidRDefault="00B22BAE" w:rsidP="00B22BAE">
      <w:pPr>
        <w:pStyle w:val="NormalHanging12a"/>
      </w:pPr>
      <w:r w:rsidRPr="000468CB">
        <w:t>–</w:t>
      </w:r>
      <w:r w:rsidRPr="000468CB">
        <w:tab/>
        <w:t>med beaktande av det förslag till ändringsbudget nr 2/2024 som kommissionen antog den 9 april 2024 (COM(2024)0920),</w:t>
      </w:r>
    </w:p>
    <w:p w14:paraId="756F4DF0" w14:textId="77777777" w:rsidR="00B22BAE" w:rsidRPr="000468CB" w:rsidRDefault="00B22BAE" w:rsidP="00B22BAE">
      <w:pPr>
        <w:pStyle w:val="NormalHanging12a"/>
      </w:pPr>
      <w:r w:rsidRPr="000468CB">
        <w:t>–</w:t>
      </w:r>
      <w:r w:rsidRPr="000468CB">
        <w:tab/>
        <w:t>med beaktande av den ståndpunkt om förslaget till ändringsbudget nr 2/2024 som rådet antog den 13 september 2024 och översände till Europaparlamentet den 16 september 2024 (12081/2024 – C10</w:t>
      </w:r>
      <w:r w:rsidRPr="000468CB">
        <w:noBreakHyphen/>
        <w:t>0107/2024),</w:t>
      </w:r>
    </w:p>
    <w:p w14:paraId="4A0DE5E6" w14:textId="77777777" w:rsidR="00B22BAE" w:rsidRPr="000468CB" w:rsidRDefault="00B22BAE" w:rsidP="00B22BAE">
      <w:pPr>
        <w:pStyle w:val="NormalHanging12a"/>
      </w:pPr>
      <w:r w:rsidRPr="000468CB">
        <w:t>–</w:t>
      </w:r>
      <w:r w:rsidRPr="000468CB">
        <w:tab/>
        <w:t xml:space="preserve">med beaktande av artiklarna 96 och 98 i arbetsordningen, </w:t>
      </w:r>
    </w:p>
    <w:p w14:paraId="1239902F" w14:textId="77777777" w:rsidR="00B22BAE" w:rsidRPr="000468CB" w:rsidRDefault="00B22BAE" w:rsidP="00B22BAE">
      <w:pPr>
        <w:pStyle w:val="NormalHanging12a"/>
      </w:pPr>
      <w:r w:rsidRPr="000468CB">
        <w:t>–</w:t>
      </w:r>
      <w:r w:rsidRPr="000468CB">
        <w:tab/>
        <w:t>med beaktande av betänkandet från budgetutskottet (A10-0005/2024), och av följande skäl:</w:t>
      </w:r>
    </w:p>
    <w:p w14:paraId="455D1691" w14:textId="77777777" w:rsidR="00B22BAE" w:rsidRPr="000468CB" w:rsidRDefault="00B22BAE" w:rsidP="00B22BAE">
      <w:pPr>
        <w:pStyle w:val="NormalHanging12a"/>
      </w:pPr>
      <w:r w:rsidRPr="000468CB">
        <w:t>A.</w:t>
      </w:r>
      <w:r w:rsidRPr="000468CB">
        <w:tab/>
        <w:t>Syftet med förslaget till ändringsbudget nr 2/2024 är att till budgeten för 2024 föra över överskottet från budgetåret 2023, vilket uppgår till 633 miljoner EUR.</w:t>
      </w:r>
    </w:p>
    <w:p w14:paraId="1F379B0F" w14:textId="77777777" w:rsidR="00B22BAE" w:rsidRPr="000468CB" w:rsidRDefault="00B22BAE" w:rsidP="00B22BAE">
      <w:pPr>
        <w:pStyle w:val="NormalHanging12a"/>
      </w:pPr>
      <w:r w:rsidRPr="000468CB">
        <w:t>B.</w:t>
      </w:r>
      <w:r w:rsidRPr="000468CB">
        <w:tab/>
        <w:t>Huvuddelarna i detta överskott utgörs av ett överskott på 238,7 miljoner EUR på inkomstsidan och ett underutnyttjande på 393,9 miljoner EUR.</w:t>
      </w:r>
    </w:p>
    <w:p w14:paraId="334454E2" w14:textId="77777777" w:rsidR="00B22BAE" w:rsidRPr="000468CB" w:rsidRDefault="00B22BAE" w:rsidP="00B22BAE">
      <w:pPr>
        <w:pStyle w:val="NormalHanging12a"/>
      </w:pPr>
      <w:r w:rsidRPr="000468CB">
        <w:t>C.</w:t>
      </w:r>
      <w:r w:rsidRPr="000468CB">
        <w:tab/>
        <w:t>På inkomstsidan beror överskottet främst på finansiella intäkter, dröjsmålsränta och böter motsvarande ett belopp på 1 766 miljoner EUR, medan tullavgifterna uppgick till ett belopp som var 1 649 miljoner EUR lägre än det förväntade beloppet. Överskottet i administrativa intäkter på 107 miljoner EUR beror framförallt på att pensionsavgifterna översteg prognosen och att en mellanliggande löneuppdatering tillämpades i januari 2023, vilket har lett till förhöjda skatter, avgifter och pensionsavgifter.</w:t>
      </w:r>
    </w:p>
    <w:p w14:paraId="5F79320C" w14:textId="77777777" w:rsidR="00B22BAE" w:rsidRPr="000468CB" w:rsidRDefault="00B22BAE" w:rsidP="00B22BAE">
      <w:pPr>
        <w:pStyle w:val="NormalHanging12a"/>
      </w:pPr>
      <w:r w:rsidRPr="000468CB">
        <w:t>D.</w:t>
      </w:r>
      <w:r w:rsidRPr="000468CB">
        <w:tab/>
        <w:t>På utgiftssidan uppgick underutnyttjandet av kommissionens betalningar till 70 miljoner EUR (0,1 % av de godkända betalningsbemyndigandena). De övriga institutionerna annullerade 48 miljoner EUR i betalningar, vilket innebar att den låga underutnyttjandenivån från 2022 års budget bibehölls.</w:t>
      </w:r>
    </w:p>
    <w:p w14:paraId="4781EF4B" w14:textId="77777777" w:rsidR="00B22BAE" w:rsidRPr="000468CB" w:rsidRDefault="00B22BAE" w:rsidP="00B22BAE">
      <w:pPr>
        <w:pStyle w:val="NormalHanging12a"/>
      </w:pPr>
      <w:r w:rsidRPr="000468CB">
        <w:t>E.</w:t>
      </w:r>
      <w:r w:rsidRPr="000468CB">
        <w:tab/>
        <w:t xml:space="preserve">Genom förslaget till ändringsbudget nr 2/2024 uppgår Tysklands, Nederländernas, Danmarks, Sveriges och Österrikes minskningar av det årliga BNI-baserade schablonbeloppet till cirka 5,4 miljarder EUR netto. </w:t>
      </w:r>
    </w:p>
    <w:p w14:paraId="5EC5F087" w14:textId="77777777" w:rsidR="00B22BAE" w:rsidRPr="000468CB" w:rsidRDefault="00B22BAE" w:rsidP="00B22BAE">
      <w:pPr>
        <w:pStyle w:val="NormalHanging12a"/>
        <w:rPr>
          <w:szCs w:val="24"/>
        </w:rPr>
      </w:pPr>
      <w:r w:rsidRPr="000468CB">
        <w:t>F.</w:t>
      </w:r>
      <w:r w:rsidRPr="000468CB">
        <w:tab/>
        <w:t xml:space="preserve">Marginalerna och flexibiliteten i unionens budget är fortfarande mycket snäva trots revideringen av den fleråriga budgetramen och införandet av det nya EURI-instrumentet för att garantera ökade lånekostnader för Europeiska unionens återhämtningsinstrument, som till sin natur är volatila och skapar osäkerhet för budgeten. I detta svåra </w:t>
      </w:r>
      <w:r w:rsidRPr="000468CB">
        <w:lastRenderedPageBreak/>
        <w:t>sammanhang ökar budgetbehoven.</w:t>
      </w:r>
    </w:p>
    <w:p w14:paraId="6AA9548A" w14:textId="77777777" w:rsidR="00B22BAE" w:rsidRPr="000468CB" w:rsidRDefault="00B22BAE" w:rsidP="00B22BAE">
      <w:pPr>
        <w:pStyle w:val="NormalHanging12a"/>
      </w:pPr>
      <w:r w:rsidRPr="000468CB">
        <w:t>1.</w:t>
      </w:r>
      <w:r w:rsidRPr="000468CB">
        <w:tab/>
        <w:t>Europaparlamentet noterar det förslag till ändringsbudget nr 2/2024 som lagts fram av kommissionen och som är utformat för att föra in överskottet från 2023 i budgeten, dvs. ett belopp på 633 miljoner EUR, i enlighet med artikel 18.3 i budgetförordningen.</w:t>
      </w:r>
    </w:p>
    <w:p w14:paraId="7D1D28BE" w14:textId="77777777" w:rsidR="00B22BAE" w:rsidRPr="000468CB" w:rsidRDefault="00B22BAE" w:rsidP="00B22BAE">
      <w:pPr>
        <w:pStyle w:val="NormalHanging12a"/>
      </w:pPr>
      <w:r w:rsidRPr="000468CB">
        <w:t>2.</w:t>
      </w:r>
      <w:r w:rsidRPr="000468CB">
        <w:tab/>
        <w:t xml:space="preserve">Europaparlamentet gläder sig över att överskottet för 2023 är betydligt lägre än överskottet för 2022, vilket tyder på att kommissionens budgetprognoser och budgetförvaltning har förbättrats. </w:t>
      </w:r>
    </w:p>
    <w:p w14:paraId="62B0EF77" w14:textId="77777777" w:rsidR="00B22BAE" w:rsidRPr="000468CB" w:rsidRDefault="00B22BAE" w:rsidP="00B22BAE">
      <w:pPr>
        <w:pStyle w:val="NormalHanging12a"/>
      </w:pPr>
      <w:r w:rsidRPr="000468CB">
        <w:t>3.</w:t>
      </w:r>
      <w:r w:rsidRPr="000468CB">
        <w:tab/>
        <w:t>Europaparlamentet understryker att överskottet minskar medlemsstaternas totala bidrag till finansieringen av 2024 års budget vid en tidpunkt då finansieringsbehoven förblir höga och utrymmet inom unionens budget är extremt begränsat. Parlamentet understryker att budgeten måste vara tillräckligt flexibel så att unionen kan hantera oförutsedda händelser och nya framväxande prioriteringar.</w:t>
      </w:r>
    </w:p>
    <w:p w14:paraId="38DF9E8B" w14:textId="77777777" w:rsidR="00B22BAE" w:rsidRPr="000468CB" w:rsidRDefault="00B22BAE" w:rsidP="00B22BAE">
      <w:pPr>
        <w:pStyle w:val="NormalHanging12a"/>
      </w:pPr>
      <w:r w:rsidRPr="000468CB">
        <w:t>4.</w:t>
      </w:r>
      <w:r w:rsidRPr="000468CB">
        <w:tab/>
        <w:t>Europaparlamentet påminner om sin ståndpunkt sedan länge att böter och avgifter bör användas som extra inkomster för unionens budget och inte bör leda till en motsvarande minskning av de BNI-baserade bidragen.</w:t>
      </w:r>
    </w:p>
    <w:p w14:paraId="75D20D10" w14:textId="77777777" w:rsidR="00B22BAE" w:rsidRPr="000468CB" w:rsidRDefault="00B22BAE" w:rsidP="00B22BAE">
      <w:pPr>
        <w:widowControl/>
        <w:spacing w:before="120" w:after="120"/>
        <w:ind w:left="567" w:hanging="567"/>
      </w:pPr>
      <w:r w:rsidRPr="000468CB">
        <w:t>5.</w:t>
      </w:r>
      <w:r w:rsidRPr="000468CB">
        <w:tab/>
        <w:t xml:space="preserve">Europaparlamentet noterar beräkningen av de justerade minskningarna av det årliga BNI-baserade schablonbeloppet för de fem stödmottagande medlemsstaterna som uppgår till cirka 5,4 miljarder EUR netto. Parlamentet betonar att dessa rabatter är inflationsrelaterade och därför har ökat i högre takt än taken i den fleråriga budgetramen, som justeras årligen på grundval av </w:t>
      </w:r>
      <w:proofErr w:type="spellStart"/>
      <w:r w:rsidRPr="000468CB">
        <w:t>deflatorn</w:t>
      </w:r>
      <w:proofErr w:type="spellEnd"/>
      <w:r w:rsidRPr="000468CB">
        <w:t xml:space="preserve"> på 2 %. Parlamentet betonar att denna avvikelse ökar bördan för de andra medlemsstaterna.</w:t>
      </w:r>
    </w:p>
    <w:p w14:paraId="164C2576" w14:textId="77777777" w:rsidR="00B22BAE" w:rsidRPr="000468CB" w:rsidRDefault="00B22BAE" w:rsidP="00B22BAE">
      <w:pPr>
        <w:pStyle w:val="NormalHanging12a"/>
        <w:rPr>
          <w:szCs w:val="24"/>
        </w:rPr>
      </w:pPr>
      <w:r w:rsidRPr="000468CB">
        <w:t>6.</w:t>
      </w:r>
      <w:r w:rsidRPr="000468CB">
        <w:tab/>
        <w:t>Europaparlamentet betonar behovet av hållbara inkomster för unionens budget. Parlamentet beklagar därför bristen på framsteg i rådet när det gäller reformen av systemet för egna medel i linje med färdplanen i det interinstitutionella avtalet.</w:t>
      </w:r>
      <w:r w:rsidRPr="000468CB">
        <w:rPr>
          <w:color w:val="1E1E1F"/>
          <w:shd w:val="clear" w:color="auto" w:fill="FFFFFF"/>
        </w:rPr>
        <w:t xml:space="preserve"> </w:t>
      </w:r>
      <w:r w:rsidRPr="000468CB">
        <w:t>Parlamentet påminner om sin ståndpunkt till stöd för kommissionens ändrade förslag och uppmanar rådet att snabbt anta dessa förslag för att öka de egna medel som är tillgängliga för unionens budget.</w:t>
      </w:r>
    </w:p>
    <w:p w14:paraId="0245E315" w14:textId="77777777" w:rsidR="00B22BAE" w:rsidRPr="000468CB" w:rsidRDefault="00B22BAE" w:rsidP="00B22BAE">
      <w:pPr>
        <w:pStyle w:val="NormalHanging12a"/>
      </w:pPr>
      <w:r w:rsidRPr="000468CB">
        <w:t>7.</w:t>
      </w:r>
      <w:r w:rsidRPr="000468CB">
        <w:tab/>
        <w:t>Europaparlamentet godkänner rådets ståndpunkt om förslaget till ändringsbudget nr 2/2024.</w:t>
      </w:r>
    </w:p>
    <w:p w14:paraId="4E254D7B" w14:textId="0C4C3427" w:rsidR="00B22BAE" w:rsidRPr="000468CB" w:rsidRDefault="00B22BAE" w:rsidP="00B22BAE">
      <w:pPr>
        <w:pStyle w:val="NormalHanging12a"/>
      </w:pPr>
      <w:r w:rsidRPr="000468CB">
        <w:t>8.</w:t>
      </w:r>
      <w:r w:rsidRPr="000468CB">
        <w:tab/>
        <w:t xml:space="preserve">Europaparlamentet uppdrar åt talmannen att förklara ändringsbudget nr </w:t>
      </w:r>
      <w:r w:rsidR="00441756" w:rsidRPr="000468CB">
        <w:t>3</w:t>
      </w:r>
      <w:r w:rsidRPr="000468CB">
        <w:t xml:space="preserve">/2024 slutgiltigt antagen och se till att den offentliggörs i </w:t>
      </w:r>
      <w:r w:rsidRPr="000468CB">
        <w:rPr>
          <w:i/>
          <w:iCs/>
        </w:rPr>
        <w:t>Europeiska unionens officiella tidning</w:t>
      </w:r>
      <w:r w:rsidRPr="000468CB">
        <w:t>.</w:t>
      </w:r>
    </w:p>
    <w:p w14:paraId="081A5203" w14:textId="77777777" w:rsidR="00B22BAE" w:rsidRPr="003A0851" w:rsidRDefault="00B22BAE" w:rsidP="00B22BAE">
      <w:pPr>
        <w:pStyle w:val="NormalHanging12a"/>
      </w:pPr>
      <w:r w:rsidRPr="000468CB">
        <w:t>9.</w:t>
      </w:r>
      <w:r w:rsidRPr="000468CB">
        <w:tab/>
        <w:t>Europaparlamentet uppdrar åt talmannen att översända denna resolution till rådet och kommissionen, övriga institutioner och berörda organ samt till de nationella parlamenten.</w:t>
      </w:r>
    </w:p>
    <w:sectPr w:rsidR="00B22BAE" w:rsidRPr="003A0851" w:rsidSect="003A085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15A06E" w14:textId="77777777" w:rsidR="0005083F" w:rsidRPr="003A0851" w:rsidRDefault="0005083F">
      <w:r w:rsidRPr="003A0851">
        <w:separator/>
      </w:r>
    </w:p>
  </w:endnote>
  <w:endnote w:type="continuationSeparator" w:id="0">
    <w:p w14:paraId="53E7AFFC" w14:textId="77777777" w:rsidR="0005083F" w:rsidRPr="003A0851" w:rsidRDefault="0005083F">
      <w:r w:rsidRPr="003A085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87C3B3" w14:textId="77777777" w:rsidR="00064002" w:rsidRPr="003A085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C580C6" w14:textId="77777777" w:rsidR="00064002" w:rsidRPr="003A085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624B53" w14:textId="77777777" w:rsidR="00064002" w:rsidRPr="003A085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88612A" w14:textId="77777777" w:rsidR="0005083F" w:rsidRPr="003A0851" w:rsidRDefault="0005083F">
      <w:r w:rsidRPr="003A0851">
        <w:separator/>
      </w:r>
    </w:p>
  </w:footnote>
  <w:footnote w:type="continuationSeparator" w:id="0">
    <w:p w14:paraId="01A64C09" w14:textId="77777777" w:rsidR="0005083F" w:rsidRPr="003A0851" w:rsidRDefault="0005083F">
      <w:r w:rsidRPr="003A0851">
        <w:continuationSeparator/>
      </w:r>
    </w:p>
  </w:footnote>
  <w:footnote w:id="1">
    <w:p w14:paraId="6DEDECCC" w14:textId="77777777" w:rsidR="00B22BAE" w:rsidRPr="000468CB" w:rsidRDefault="00B22BAE" w:rsidP="003A0851">
      <w:pPr>
        <w:pStyle w:val="FootnoteText"/>
        <w:ind w:left="567" w:hanging="567"/>
        <w:rPr>
          <w:sz w:val="24"/>
          <w:lang w:val="fi-FI"/>
        </w:rPr>
      </w:pPr>
      <w:r w:rsidRPr="000468CB">
        <w:rPr>
          <w:rStyle w:val="FootnoteReference"/>
          <w:sz w:val="24"/>
          <w:lang w:val="sv-SE"/>
        </w:rPr>
        <w:footnoteRef/>
      </w:r>
      <w:r w:rsidR="003A0851" w:rsidRPr="000468CB">
        <w:rPr>
          <w:sz w:val="24"/>
          <w:lang w:val="fi-FI"/>
        </w:rPr>
        <w:t xml:space="preserve"> </w:t>
      </w:r>
      <w:r w:rsidR="003A0851" w:rsidRPr="000468CB">
        <w:rPr>
          <w:sz w:val="24"/>
          <w:lang w:val="fi-FI"/>
        </w:rPr>
        <w:tab/>
      </w:r>
      <w:r w:rsidRPr="000468CB">
        <w:rPr>
          <w:sz w:val="24"/>
          <w:lang w:val="fi-FI"/>
        </w:rPr>
        <w:t xml:space="preserve">EUT L 193, 30.7.2018, s. 1, ELI: </w:t>
      </w:r>
      <w:hyperlink r:id="rId1" w:history="1">
        <w:r w:rsidRPr="000468CB">
          <w:rPr>
            <w:rStyle w:val="Hyperlink"/>
            <w:sz w:val="24"/>
            <w:lang w:val="fi-FI"/>
          </w:rPr>
          <w:t>http://data.europa.eu/eli/reg/2018/1046/oj</w:t>
        </w:r>
      </w:hyperlink>
      <w:r w:rsidRPr="000468CB">
        <w:rPr>
          <w:sz w:val="24"/>
          <w:lang w:val="fi-FI"/>
        </w:rPr>
        <w:t>.</w:t>
      </w:r>
    </w:p>
  </w:footnote>
  <w:footnote w:id="2">
    <w:p w14:paraId="5BA24518" w14:textId="77777777" w:rsidR="00151911" w:rsidRPr="000468CB" w:rsidRDefault="00151911" w:rsidP="000468CB">
      <w:pPr>
        <w:pStyle w:val="FootnoteText"/>
        <w:ind w:left="567" w:hanging="567"/>
        <w:rPr>
          <w:sz w:val="24"/>
          <w:szCs w:val="24"/>
          <w:lang w:val="fi-FI"/>
        </w:rPr>
      </w:pPr>
      <w:r w:rsidRPr="000468CB">
        <w:rPr>
          <w:rStyle w:val="FootnoteReference"/>
          <w:sz w:val="24"/>
          <w:szCs w:val="24"/>
        </w:rPr>
        <w:footnoteRef/>
      </w:r>
      <w:r w:rsidRPr="000468CB">
        <w:rPr>
          <w:sz w:val="24"/>
          <w:szCs w:val="24"/>
          <w:lang w:val="fi-FI"/>
        </w:rPr>
        <w:t xml:space="preserve"> </w:t>
      </w:r>
      <w:r w:rsidRPr="000468CB">
        <w:rPr>
          <w:sz w:val="24"/>
          <w:szCs w:val="24"/>
          <w:lang w:val="fi-FI"/>
        </w:rPr>
        <w:tab/>
        <w:t xml:space="preserve">EUT L, 2024/2509, 26.9.2024, ELI: </w:t>
      </w:r>
      <w:hyperlink r:id="rId2" w:history="1">
        <w:r w:rsidRPr="000468CB">
          <w:rPr>
            <w:rStyle w:val="Hyperlink"/>
            <w:sz w:val="24"/>
            <w:szCs w:val="24"/>
            <w:lang w:val="fi-FI"/>
          </w:rPr>
          <w:t>http://data.europa.eu/eli/reg/2024/2509/oj</w:t>
        </w:r>
      </w:hyperlink>
      <w:r w:rsidRPr="000468CB">
        <w:rPr>
          <w:sz w:val="24"/>
          <w:szCs w:val="24"/>
          <w:lang w:val="fi-FI"/>
        </w:rPr>
        <w:t>.</w:t>
      </w:r>
    </w:p>
  </w:footnote>
  <w:footnote w:id="3">
    <w:p w14:paraId="7B4194A3" w14:textId="77777777" w:rsidR="00B22BAE" w:rsidRPr="000468CB" w:rsidRDefault="00B22BAE" w:rsidP="003A0851">
      <w:pPr>
        <w:pStyle w:val="FootnoteText"/>
        <w:ind w:left="567" w:hanging="567"/>
        <w:rPr>
          <w:sz w:val="24"/>
          <w:lang w:val="fi-FI"/>
        </w:rPr>
      </w:pPr>
      <w:r w:rsidRPr="000468CB">
        <w:rPr>
          <w:rStyle w:val="FootnoteReference"/>
          <w:sz w:val="24"/>
          <w:lang w:val="sv-SE"/>
        </w:rPr>
        <w:footnoteRef/>
      </w:r>
      <w:r w:rsidR="003A0851" w:rsidRPr="000468CB">
        <w:rPr>
          <w:sz w:val="24"/>
          <w:lang w:val="fi-FI"/>
        </w:rPr>
        <w:t xml:space="preserve"> </w:t>
      </w:r>
      <w:r w:rsidR="003A0851" w:rsidRPr="000468CB">
        <w:rPr>
          <w:sz w:val="24"/>
          <w:lang w:val="fi-FI"/>
        </w:rPr>
        <w:tab/>
      </w:r>
      <w:r w:rsidRPr="000468CB">
        <w:rPr>
          <w:sz w:val="24"/>
          <w:lang w:val="fi-FI"/>
        </w:rPr>
        <w:t xml:space="preserve">EUT L, 2024/207, 22.2.2024, ELI: </w:t>
      </w:r>
      <w:hyperlink r:id="rId3" w:history="1">
        <w:r w:rsidRPr="000468CB">
          <w:rPr>
            <w:rStyle w:val="Hyperlink"/>
            <w:sz w:val="24"/>
            <w:lang w:val="fi-FI"/>
          </w:rPr>
          <w:t>http://data.europa.eu/eli/budget/2024/207/oj</w:t>
        </w:r>
      </w:hyperlink>
      <w:r w:rsidRPr="000468CB">
        <w:rPr>
          <w:sz w:val="24"/>
          <w:lang w:val="fi-FI"/>
        </w:rPr>
        <w:t>.</w:t>
      </w:r>
    </w:p>
  </w:footnote>
  <w:footnote w:id="4">
    <w:p w14:paraId="1DF03923" w14:textId="77777777" w:rsidR="00B22BAE" w:rsidRPr="000468CB" w:rsidRDefault="00B22BAE" w:rsidP="003A0851">
      <w:pPr>
        <w:pStyle w:val="FootnoteText"/>
        <w:ind w:left="567" w:hanging="567"/>
        <w:rPr>
          <w:sz w:val="24"/>
          <w:lang w:val="fi-FI"/>
        </w:rPr>
      </w:pPr>
      <w:r w:rsidRPr="000468CB">
        <w:rPr>
          <w:rStyle w:val="FootnoteReference"/>
          <w:sz w:val="24"/>
          <w:lang w:val="sv-SE"/>
        </w:rPr>
        <w:footnoteRef/>
      </w:r>
      <w:r w:rsidR="003A0851" w:rsidRPr="000468CB">
        <w:rPr>
          <w:sz w:val="24"/>
          <w:lang w:val="fi-FI"/>
        </w:rPr>
        <w:t xml:space="preserve"> </w:t>
      </w:r>
      <w:r w:rsidR="003A0851" w:rsidRPr="000468CB">
        <w:rPr>
          <w:sz w:val="24"/>
          <w:lang w:val="fi-FI"/>
        </w:rPr>
        <w:tab/>
      </w:r>
      <w:r w:rsidRPr="000468CB">
        <w:rPr>
          <w:sz w:val="24"/>
          <w:lang w:val="fi-FI"/>
        </w:rPr>
        <w:t xml:space="preserve">EUT L 433 I, 22.12.2020, s. 11, ELI: </w:t>
      </w:r>
      <w:hyperlink r:id="rId4" w:history="1">
        <w:r w:rsidRPr="000468CB">
          <w:rPr>
            <w:rStyle w:val="Hyperlink"/>
            <w:sz w:val="24"/>
            <w:lang w:val="fi-FI"/>
          </w:rPr>
          <w:t>http://data.europa.eu/eli/reg/2020/2093/oj</w:t>
        </w:r>
      </w:hyperlink>
      <w:r w:rsidRPr="000468CB">
        <w:rPr>
          <w:sz w:val="24"/>
          <w:lang w:val="fi-FI"/>
        </w:rPr>
        <w:t>.</w:t>
      </w:r>
    </w:p>
  </w:footnote>
  <w:footnote w:id="5">
    <w:p w14:paraId="23CCBA60" w14:textId="77777777" w:rsidR="00B22BAE" w:rsidRPr="000468CB" w:rsidRDefault="00B22BAE" w:rsidP="003A0851">
      <w:pPr>
        <w:pStyle w:val="FootnoteText"/>
        <w:ind w:left="567" w:hanging="567"/>
        <w:rPr>
          <w:sz w:val="24"/>
          <w:lang w:val="fi-FI"/>
        </w:rPr>
      </w:pPr>
      <w:r w:rsidRPr="000468CB">
        <w:rPr>
          <w:rStyle w:val="FootnoteReference"/>
          <w:sz w:val="24"/>
          <w:lang w:val="sv-SE"/>
        </w:rPr>
        <w:footnoteRef/>
      </w:r>
      <w:r w:rsidR="003A0851" w:rsidRPr="000468CB">
        <w:rPr>
          <w:sz w:val="24"/>
          <w:lang w:val="fi-FI"/>
        </w:rPr>
        <w:t xml:space="preserve"> </w:t>
      </w:r>
      <w:r w:rsidR="003A0851" w:rsidRPr="000468CB">
        <w:rPr>
          <w:sz w:val="24"/>
          <w:lang w:val="fi-FI"/>
        </w:rPr>
        <w:tab/>
      </w:r>
      <w:r w:rsidRPr="000468CB">
        <w:rPr>
          <w:sz w:val="24"/>
          <w:lang w:val="fi-FI"/>
        </w:rPr>
        <w:t xml:space="preserve">EUT L 433 I, 22.12.2020, s. 28, ELI: </w:t>
      </w:r>
      <w:hyperlink r:id="rId5" w:history="1">
        <w:r w:rsidRPr="000468CB">
          <w:rPr>
            <w:rStyle w:val="Hyperlink"/>
            <w:sz w:val="24"/>
            <w:lang w:val="fi-FI"/>
          </w:rPr>
          <w:t>http://data.europa.eu/eli/agree_interinstit/2020/1222/oj</w:t>
        </w:r>
      </w:hyperlink>
      <w:r w:rsidRPr="000468CB">
        <w:rPr>
          <w:sz w:val="24"/>
          <w:lang w:val="fi-FI"/>
        </w:rPr>
        <w:t>.</w:t>
      </w:r>
    </w:p>
  </w:footnote>
  <w:footnote w:id="6">
    <w:p w14:paraId="0016B35F" w14:textId="77777777" w:rsidR="00B22BAE" w:rsidRPr="003A0851" w:rsidRDefault="00B22BAE" w:rsidP="003A0851">
      <w:pPr>
        <w:pStyle w:val="FootnoteText"/>
        <w:ind w:left="567" w:hanging="567"/>
        <w:rPr>
          <w:sz w:val="24"/>
          <w:lang w:val="sv-SE"/>
        </w:rPr>
      </w:pPr>
      <w:r w:rsidRPr="000468CB">
        <w:rPr>
          <w:rStyle w:val="FootnoteReference"/>
          <w:sz w:val="24"/>
          <w:lang w:val="sv-SE"/>
        </w:rPr>
        <w:footnoteRef/>
      </w:r>
      <w:r w:rsidR="003A0851" w:rsidRPr="000468CB">
        <w:rPr>
          <w:sz w:val="24"/>
          <w:lang w:val="sv-SE"/>
        </w:rPr>
        <w:t xml:space="preserve"> </w:t>
      </w:r>
      <w:r w:rsidR="003A0851" w:rsidRPr="000468CB">
        <w:rPr>
          <w:sz w:val="24"/>
          <w:lang w:val="sv-SE"/>
        </w:rPr>
        <w:tab/>
      </w:r>
      <w:r w:rsidRPr="000468CB">
        <w:rPr>
          <w:sz w:val="24"/>
          <w:lang w:val="sv-SE"/>
        </w:rPr>
        <w:t>EUT L 424, 15.12.2020, s.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607B30" w14:textId="77777777" w:rsidR="00064002" w:rsidRPr="003A085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E231E3" w14:textId="77777777" w:rsidR="00064002" w:rsidRPr="003A085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30A29B" w14:textId="77777777" w:rsidR="00064002" w:rsidRPr="003A085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05/2024"/>
    <w:docVar w:name="dvlangue" w:val="SV"/>
    <w:docVar w:name="dvnumam" w:val="0"/>
    <w:docVar w:name="dvpe" w:val="763.033"/>
    <w:docVar w:name="dvrapporteur" w:val="Föredragande: "/>
    <w:docVar w:name="dvtitre" w:val="Europaparlamentets resolution av den xx xx 2024 om rådets ståndpunkt om förslaget till Europeiska unionens ändringsbudget nr 2/2024 för budgetåret 2024 – Införande av överskottet från budgetåret 2023(12081/2024 – C10-0107/2024 – 2024/0089(BUD))"/>
  </w:docVars>
  <w:rsids>
    <w:rsidRoot w:val="0005083F"/>
    <w:rsid w:val="00002272"/>
    <w:rsid w:val="000468CB"/>
    <w:rsid w:val="0005083F"/>
    <w:rsid w:val="00064002"/>
    <w:rsid w:val="000677B9"/>
    <w:rsid w:val="000831BA"/>
    <w:rsid w:val="000A42CC"/>
    <w:rsid w:val="000E7DD9"/>
    <w:rsid w:val="0010095E"/>
    <w:rsid w:val="00125B37"/>
    <w:rsid w:val="00151911"/>
    <w:rsid w:val="00187494"/>
    <w:rsid w:val="001F32AE"/>
    <w:rsid w:val="002767FF"/>
    <w:rsid w:val="002B18FE"/>
    <w:rsid w:val="002B5493"/>
    <w:rsid w:val="00343214"/>
    <w:rsid w:val="00361C00"/>
    <w:rsid w:val="00395FA1"/>
    <w:rsid w:val="003A0851"/>
    <w:rsid w:val="003E15D4"/>
    <w:rsid w:val="00411CCE"/>
    <w:rsid w:val="0041666E"/>
    <w:rsid w:val="00421060"/>
    <w:rsid w:val="00441756"/>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921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311F"/>
    <w:rsid w:val="00AB441E"/>
    <w:rsid w:val="00AB6293"/>
    <w:rsid w:val="00AE0928"/>
    <w:rsid w:val="00AF3B82"/>
    <w:rsid w:val="00B12E95"/>
    <w:rsid w:val="00B22876"/>
    <w:rsid w:val="00B22BAE"/>
    <w:rsid w:val="00B558F0"/>
    <w:rsid w:val="00BD48FE"/>
    <w:rsid w:val="00BD7BD8"/>
    <w:rsid w:val="00BE433A"/>
    <w:rsid w:val="00BE6ADC"/>
    <w:rsid w:val="00C05BFE"/>
    <w:rsid w:val="00C23CD4"/>
    <w:rsid w:val="00C61C0C"/>
    <w:rsid w:val="00C941CB"/>
    <w:rsid w:val="00CC2357"/>
    <w:rsid w:val="00CF071A"/>
    <w:rsid w:val="00D058B8"/>
    <w:rsid w:val="00D56C11"/>
    <w:rsid w:val="00D834A0"/>
    <w:rsid w:val="00D872DF"/>
    <w:rsid w:val="00D91E21"/>
    <w:rsid w:val="00DA7FCD"/>
    <w:rsid w:val="00E140D3"/>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24F0D1"/>
  <w15:chartTrackingRefBased/>
  <w15:docId w15:val="{9294879C-F7F7-4552-9E7A-1E37E2A8A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B22BAE"/>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B22BAE"/>
    <w:pPr>
      <w:spacing w:before="480" w:after="240"/>
    </w:pPr>
  </w:style>
  <w:style w:type="paragraph" w:customStyle="1" w:styleId="PageHeading">
    <w:name w:val="PageHeading"/>
    <w:basedOn w:val="Normal"/>
    <w:rsid w:val="00B22BAE"/>
    <w:pPr>
      <w:keepNext/>
      <w:spacing w:after="480"/>
      <w:jc w:val="center"/>
    </w:pPr>
    <w:rPr>
      <w:rFonts w:ascii="Arial" w:hAnsi="Arial" w:cs="Arial"/>
      <w:b/>
    </w:rPr>
  </w:style>
  <w:style w:type="paragraph" w:customStyle="1" w:styleId="NormalHanging12a">
    <w:name w:val="NormalHanging12a"/>
    <w:basedOn w:val="Normal"/>
    <w:rsid w:val="00B22BAE"/>
    <w:pPr>
      <w:spacing w:after="240"/>
      <w:ind w:left="567" w:hanging="567"/>
    </w:pPr>
  </w:style>
  <w:style w:type="paragraph" w:styleId="Header">
    <w:name w:val="header"/>
    <w:basedOn w:val="Normal"/>
    <w:link w:val="HeaderChar"/>
    <w:rsid w:val="00B22BAE"/>
    <w:pPr>
      <w:tabs>
        <w:tab w:val="center" w:pos="4513"/>
        <w:tab w:val="right" w:pos="9026"/>
      </w:tabs>
    </w:pPr>
  </w:style>
  <w:style w:type="character" w:customStyle="1" w:styleId="HeaderChar">
    <w:name w:val="Header Char"/>
    <w:basedOn w:val="DefaultParagraphFont"/>
    <w:link w:val="Header"/>
    <w:rsid w:val="00B22BAE"/>
    <w:rPr>
      <w:sz w:val="24"/>
      <w:lang w:val="sv-SE"/>
    </w:rPr>
  </w:style>
  <w:style w:type="paragraph" w:customStyle="1" w:styleId="EPFooter">
    <w:name w:val="EPFooter"/>
    <w:basedOn w:val="Normal"/>
    <w:rsid w:val="00B22BAE"/>
    <w:pPr>
      <w:tabs>
        <w:tab w:val="center" w:pos="4535"/>
        <w:tab w:val="right" w:pos="9071"/>
      </w:tabs>
      <w:spacing w:before="240" w:after="240"/>
    </w:pPr>
    <w:rPr>
      <w:color w:val="010000"/>
      <w:sz w:val="22"/>
    </w:rPr>
  </w:style>
  <w:style w:type="character" w:styleId="Hyperlink">
    <w:name w:val="Hyperlink"/>
    <w:basedOn w:val="DefaultParagraphFont"/>
    <w:rsid w:val="00B22BAE"/>
    <w:rPr>
      <w:color w:val="0563C1" w:themeColor="hyperlink"/>
      <w:u w:val="single"/>
    </w:rPr>
  </w:style>
  <w:style w:type="paragraph" w:customStyle="1" w:styleId="Normal24a">
    <w:name w:val="Normal24a"/>
    <w:basedOn w:val="Normal"/>
    <w:rsid w:val="00B22BAE"/>
    <w:pPr>
      <w:spacing w:after="480"/>
    </w:pPr>
  </w:style>
  <w:style w:type="paragraph" w:customStyle="1" w:styleId="NormalBoldCenter">
    <w:name w:val="NormalBoldCenter"/>
    <w:basedOn w:val="Normal"/>
    <w:rsid w:val="00B22BAE"/>
    <w:pPr>
      <w:jc w:val="center"/>
    </w:pPr>
    <w:rPr>
      <w:b/>
    </w:rPr>
  </w:style>
  <w:style w:type="paragraph" w:customStyle="1" w:styleId="Footprint12b">
    <w:name w:val="Footprint12b"/>
    <w:basedOn w:val="Normal"/>
    <w:rsid w:val="00B22BAE"/>
    <w:pPr>
      <w:spacing w:before="240"/>
    </w:pPr>
    <w:rPr>
      <w:szCs w:val="24"/>
    </w:rPr>
  </w:style>
  <w:style w:type="paragraph" w:customStyle="1" w:styleId="NormalSingle">
    <w:name w:val="NormalSingle"/>
    <w:basedOn w:val="Normal"/>
    <w:qFormat/>
    <w:rsid w:val="00B22BAE"/>
    <w:rPr>
      <w:szCs w:val="24"/>
    </w:rPr>
  </w:style>
  <w:style w:type="paragraph" w:customStyle="1" w:styleId="Normal12a">
    <w:name w:val="Normal12a"/>
    <w:basedOn w:val="Normal"/>
    <w:rsid w:val="00B22BAE"/>
    <w:pPr>
      <w:spacing w:after="240"/>
    </w:pPr>
  </w:style>
  <w:style w:type="paragraph" w:customStyle="1" w:styleId="RollCallVotes">
    <w:name w:val="RollCallVotes"/>
    <w:basedOn w:val="Normal"/>
    <w:rsid w:val="00B22BAE"/>
    <w:pPr>
      <w:spacing w:before="120" w:after="120"/>
      <w:jc w:val="center"/>
    </w:pPr>
    <w:rPr>
      <w:b/>
      <w:bCs/>
      <w:snapToGrid w:val="0"/>
      <w:sz w:val="16"/>
      <w:lang w:eastAsia="en-US"/>
    </w:rPr>
  </w:style>
  <w:style w:type="paragraph" w:customStyle="1" w:styleId="RollCallTabs">
    <w:name w:val="RollCallTabs"/>
    <w:basedOn w:val="Normal"/>
    <w:qFormat/>
    <w:rsid w:val="00B22BAE"/>
    <w:pPr>
      <w:tabs>
        <w:tab w:val="center" w:pos="284"/>
        <w:tab w:val="left" w:pos="426"/>
      </w:tabs>
    </w:pPr>
    <w:rPr>
      <w:snapToGrid w:val="0"/>
      <w:lang w:eastAsia="en-US"/>
    </w:rPr>
  </w:style>
  <w:style w:type="paragraph" w:customStyle="1" w:styleId="RollCallSymbols14pt">
    <w:name w:val="RollCallSymbols14pt"/>
    <w:basedOn w:val="Normal"/>
    <w:rsid w:val="00B22BAE"/>
    <w:pPr>
      <w:spacing w:before="120" w:after="120"/>
      <w:jc w:val="center"/>
    </w:pPr>
    <w:rPr>
      <w:rFonts w:ascii="Arial" w:hAnsi="Arial"/>
      <w:b/>
      <w:bCs/>
      <w:snapToGrid w:val="0"/>
      <w:sz w:val="28"/>
      <w:lang w:eastAsia="en-US"/>
    </w:rPr>
  </w:style>
  <w:style w:type="paragraph" w:customStyle="1" w:styleId="RollCallTable">
    <w:name w:val="RollCallTable"/>
    <w:basedOn w:val="Normal"/>
    <w:rsid w:val="00B22BAE"/>
    <w:pPr>
      <w:spacing w:before="120" w:after="120"/>
    </w:pPr>
    <w:rPr>
      <w:snapToGrid w:val="0"/>
      <w:sz w:val="16"/>
      <w:lang w:eastAsia="en-US"/>
    </w:rPr>
  </w:style>
  <w:style w:type="character" w:styleId="FollowedHyperlink">
    <w:name w:val="FollowedHyperlink"/>
    <w:basedOn w:val="DefaultParagraphFont"/>
    <w:rsid w:val="00151911"/>
    <w:rPr>
      <w:color w:val="954F72" w:themeColor="followedHyperlink"/>
      <w:u w:val="single"/>
    </w:rPr>
  </w:style>
  <w:style w:type="paragraph" w:styleId="BalloonText">
    <w:name w:val="Balloon Text"/>
    <w:basedOn w:val="Normal"/>
    <w:link w:val="BalloonTextChar"/>
    <w:rsid w:val="00E140D3"/>
    <w:rPr>
      <w:rFonts w:ascii="Segoe UI" w:hAnsi="Segoe UI" w:cs="Segoe UI"/>
      <w:sz w:val="18"/>
      <w:szCs w:val="18"/>
    </w:rPr>
  </w:style>
  <w:style w:type="character" w:customStyle="1" w:styleId="BalloonTextChar">
    <w:name w:val="Balloon Text Char"/>
    <w:basedOn w:val="DefaultParagraphFont"/>
    <w:link w:val="BalloonText"/>
    <w:rsid w:val="00E140D3"/>
    <w:rPr>
      <w:rFonts w:ascii="Segoe UI" w:hAnsi="Segoe UI" w:cs="Segoe UI"/>
      <w:sz w:val="18"/>
      <w:szCs w:val="18"/>
      <w:lang w:val="sv-SE"/>
    </w:rPr>
  </w:style>
  <w:style w:type="character" w:styleId="CommentReference">
    <w:name w:val="annotation reference"/>
    <w:basedOn w:val="DefaultParagraphFont"/>
    <w:rsid w:val="00E140D3"/>
    <w:rPr>
      <w:sz w:val="16"/>
      <w:szCs w:val="16"/>
    </w:rPr>
  </w:style>
  <w:style w:type="paragraph" w:styleId="CommentText">
    <w:name w:val="annotation text"/>
    <w:basedOn w:val="Normal"/>
    <w:link w:val="CommentTextChar"/>
    <w:rsid w:val="00E140D3"/>
    <w:rPr>
      <w:sz w:val="20"/>
    </w:rPr>
  </w:style>
  <w:style w:type="character" w:customStyle="1" w:styleId="CommentTextChar">
    <w:name w:val="Comment Text Char"/>
    <w:basedOn w:val="DefaultParagraphFont"/>
    <w:link w:val="CommentText"/>
    <w:rsid w:val="00E140D3"/>
    <w:rPr>
      <w:lang w:val="sv-SE"/>
    </w:rPr>
  </w:style>
  <w:style w:type="paragraph" w:styleId="CommentSubject">
    <w:name w:val="annotation subject"/>
    <w:basedOn w:val="CommentText"/>
    <w:next w:val="CommentText"/>
    <w:link w:val="CommentSubjectChar"/>
    <w:rsid w:val="00E140D3"/>
    <w:rPr>
      <w:b/>
      <w:bCs/>
    </w:rPr>
  </w:style>
  <w:style w:type="character" w:customStyle="1" w:styleId="CommentSubjectChar">
    <w:name w:val="Comment Subject Char"/>
    <w:basedOn w:val="CommentTextChar"/>
    <w:link w:val="CommentSubject"/>
    <w:rsid w:val="00E140D3"/>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budget/2024/207/oj" TargetMode="External"/><Relationship Id="rId2" Type="http://schemas.openxmlformats.org/officeDocument/2006/relationships/hyperlink" Target="http://data.europa.eu/eli/reg/2024/2509/oj" TargetMode="External"/><Relationship Id="rId1" Type="http://schemas.openxmlformats.org/officeDocument/2006/relationships/hyperlink" Target="http://data.europa.eu/eli/reg/2018/1046/oj" TargetMode="External"/><Relationship Id="rId5" Type="http://schemas.openxmlformats.org/officeDocument/2006/relationships/hyperlink" Target="http://data.europa.eu/eli/agree_interinstit/2020/1222/oj" TargetMode="External"/><Relationship Id="rId4" Type="http://schemas.openxmlformats.org/officeDocument/2006/relationships/hyperlink" Target="http://data.europa.eu/eli/reg/2020/209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4216AA-7D49-49D3-A78B-C77456BD2C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909</Words>
  <Characters>5777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HODNE Catherine</cp:lastModifiedBy>
  <cp:revision>2</cp:revision>
  <cp:lastPrinted>2004-11-19T15:42:00Z</cp:lastPrinted>
  <dcterms:created xsi:type="dcterms:W3CDTF">2024-10-22T11:11:00Z</dcterms:created>
  <dcterms:modified xsi:type="dcterms:W3CDTF">2024-10-22T11:11:00Z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P10_TA-PROV(2024)0000_A10-0005_2024_SV_r</vt:lpwstr>
  </property>
  <property fmtid="{D5CDD505-2E9C-101B-9397-08002B2CF9AE}" pid="4" name="&lt;Type&gt;">
    <vt:lpwstr>RR</vt:lpwstr>
  </property>
</Properties>
</file>