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4F2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B4F2F" w:rsidRDefault="00800870" w:rsidP="0010095E">
            <w:pPr>
              <w:pStyle w:val="EPName"/>
            </w:pPr>
            <w:r w:rsidRPr="006B4F2F">
              <w:t>Европейски</w:t>
            </w:r>
            <w:r w:rsidR="00CF23B5" w:rsidRPr="006B4F2F">
              <w:t xml:space="preserve"> парламент</w:t>
            </w:r>
          </w:p>
          <w:p w:rsidR="00751A4A" w:rsidRPr="006B4F2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4F2F">
              <w:t>2024</w:t>
            </w:r>
            <w:r w:rsidR="00800870">
              <w:t> – </w:t>
            </w:r>
            <w:r w:rsidR="00817416" w:rsidRPr="006B4F2F">
              <w:t>202</w:t>
            </w:r>
            <w:r w:rsidRPr="006B4F2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B4F2F" w:rsidRDefault="00187494" w:rsidP="0010095E">
            <w:pPr>
              <w:pStyle w:val="EPLogo"/>
            </w:pPr>
            <w:r w:rsidRPr="006B4F2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B4F2F" w:rsidRDefault="00D058B8" w:rsidP="004C5D52">
      <w:pPr>
        <w:pStyle w:val="LineTop"/>
      </w:pPr>
    </w:p>
    <w:p w:rsidR="00680577" w:rsidRPr="006B4F2F" w:rsidRDefault="00CF23B5" w:rsidP="00680577">
      <w:pPr>
        <w:pStyle w:val="EPBodyTA1"/>
      </w:pPr>
      <w:r w:rsidRPr="006B4F2F">
        <w:t>ПРИЕТИ ТЕКСТОВЕ</w:t>
      </w:r>
    </w:p>
    <w:p w:rsidR="00D058B8" w:rsidRPr="006B4F2F" w:rsidRDefault="00D058B8" w:rsidP="00D058B8">
      <w:pPr>
        <w:pStyle w:val="LineBottom"/>
      </w:pPr>
    </w:p>
    <w:p w:rsidR="00CF23B5" w:rsidRPr="006B4F2F" w:rsidRDefault="00CF23B5" w:rsidP="00CF23B5">
      <w:pPr>
        <w:pStyle w:val="ATHeading1"/>
      </w:pPr>
      <w:bookmarkStart w:id="0" w:name="TANumber"/>
      <w:r w:rsidRPr="006B4F2F">
        <w:t>P10_TA(2024)00</w:t>
      </w:r>
      <w:r w:rsidR="00E27436">
        <w:rPr>
          <w:lang w:val="en-GB"/>
        </w:rPr>
        <w:t>24</w:t>
      </w:r>
      <w:bookmarkEnd w:id="0"/>
    </w:p>
    <w:p w:rsidR="00CF23B5" w:rsidRPr="006B4F2F" w:rsidRDefault="00CF23B5" w:rsidP="00CF23B5">
      <w:pPr>
        <w:pStyle w:val="ATHeading2"/>
      </w:pPr>
      <w:bookmarkStart w:id="1" w:name="title"/>
      <w:r w:rsidRPr="006B4F2F">
        <w:t>Проект на коригиращ бюджет № 4</w:t>
      </w:r>
      <w:r w:rsidR="00DC5024">
        <w:t>/2024</w:t>
      </w:r>
      <w:r w:rsidRPr="006B4F2F">
        <w:t xml:space="preserve"> - Актуализация на приходите (собствените ресурси) и корекции за някои децентрализирани агенции</w:t>
      </w:r>
      <w:bookmarkEnd w:id="1"/>
    </w:p>
    <w:p w:rsidR="00CF23B5" w:rsidRPr="006B4F2F" w:rsidRDefault="00CF23B5" w:rsidP="00CF23B5">
      <w:pPr>
        <w:rPr>
          <w:i/>
          <w:vanish/>
        </w:rPr>
      </w:pPr>
      <w:r w:rsidRPr="006B4F2F">
        <w:rPr>
          <w:i/>
        </w:rPr>
        <w:fldChar w:fldCharType="begin"/>
      </w:r>
      <w:r w:rsidRPr="006B4F2F">
        <w:rPr>
          <w:i/>
        </w:rPr>
        <w:instrText xml:space="preserve"> TC"(</w:instrText>
      </w:r>
      <w:bookmarkStart w:id="2" w:name="DocNumber"/>
      <w:r w:rsidRPr="006B4F2F">
        <w:rPr>
          <w:i/>
        </w:rPr>
        <w:instrText>A10-0007/2024</w:instrText>
      </w:r>
      <w:bookmarkEnd w:id="2"/>
      <w:r w:rsidRPr="006B4F2F">
        <w:rPr>
          <w:i/>
        </w:rPr>
        <w:instrText xml:space="preserve"> - Докладчик: </w:instrText>
      </w:r>
      <w:proofErr w:type="spellStart"/>
      <w:r w:rsidRPr="006B4F2F">
        <w:rPr>
          <w:i/>
        </w:rPr>
        <w:instrText>Зигфрид</w:instrText>
      </w:r>
      <w:proofErr w:type="spellEnd"/>
      <w:r w:rsidRPr="006B4F2F">
        <w:rPr>
          <w:i/>
        </w:rPr>
        <w:instrText xml:space="preserve"> </w:instrText>
      </w:r>
      <w:proofErr w:type="spellStart"/>
      <w:r w:rsidRPr="006B4F2F">
        <w:rPr>
          <w:i/>
        </w:rPr>
        <w:instrText>Мурешан</w:instrText>
      </w:r>
      <w:proofErr w:type="spellEnd"/>
      <w:r w:rsidRPr="006B4F2F">
        <w:rPr>
          <w:i/>
        </w:rPr>
        <w:instrText xml:space="preserve">)"\l3 \n&gt; \* MERGEFORMAT </w:instrText>
      </w:r>
      <w:r w:rsidRPr="006B4F2F">
        <w:rPr>
          <w:i/>
        </w:rPr>
        <w:fldChar w:fldCharType="end"/>
      </w:r>
    </w:p>
    <w:p w:rsidR="00CF23B5" w:rsidRPr="006B4F2F" w:rsidRDefault="00CF23B5" w:rsidP="00CF23B5">
      <w:pPr>
        <w:rPr>
          <w:vanish/>
        </w:rPr>
      </w:pPr>
      <w:bookmarkStart w:id="3" w:name="Commission"/>
      <w:r w:rsidRPr="006B4F2F">
        <w:rPr>
          <w:vanish/>
        </w:rPr>
        <w:t>Комисия по бюджети</w:t>
      </w:r>
      <w:bookmarkEnd w:id="3"/>
    </w:p>
    <w:p w:rsidR="00CF23B5" w:rsidRPr="006B4F2F" w:rsidRDefault="00CF23B5" w:rsidP="00CF23B5">
      <w:pPr>
        <w:rPr>
          <w:vanish/>
        </w:rPr>
      </w:pPr>
      <w:bookmarkStart w:id="4" w:name="PE"/>
      <w:r w:rsidRPr="006B4F2F">
        <w:rPr>
          <w:vanish/>
        </w:rPr>
        <w:t>PE763.032</w:t>
      </w:r>
      <w:bookmarkEnd w:id="4"/>
    </w:p>
    <w:p w:rsidR="00CF23B5" w:rsidRPr="006B4F2F" w:rsidRDefault="00CF23B5" w:rsidP="00800870">
      <w:pPr>
        <w:pStyle w:val="ATHeading3"/>
      </w:pPr>
      <w:bookmarkStart w:id="5" w:name="Sujet"/>
      <w:r w:rsidRPr="006B4F2F">
        <w:t xml:space="preserve">Резолюция на Европейския парламент от </w:t>
      </w:r>
      <w:r w:rsidR="00A376EB">
        <w:t>22 октомври</w:t>
      </w:r>
      <w:r w:rsidR="00A376EB" w:rsidRPr="006B4F2F">
        <w:t xml:space="preserve"> </w:t>
      </w:r>
      <w:r w:rsidRPr="006B4F2F">
        <w:t>2024 г. относно позицията на Съвета относно проект на коригиращ бюджет № 4/2024 на Европейския съюз за финансовата 2024 година – Актуализация на приходите (собствените ресурси) и корекции за някои децентрализирани агенции</w:t>
      </w:r>
      <w:bookmarkEnd w:id="5"/>
      <w:r w:rsidRPr="006B4F2F">
        <w:t xml:space="preserve"> </w:t>
      </w:r>
      <w:bookmarkStart w:id="6" w:name="References"/>
      <w:r w:rsidRPr="006B4F2F">
        <w:t>(13195/2024 – C10-0109/2024 – 2024/0185(BUD))</w:t>
      </w:r>
      <w:bookmarkStart w:id="7" w:name="_GoBack"/>
      <w:bookmarkEnd w:id="6"/>
      <w:bookmarkEnd w:id="7"/>
    </w:p>
    <w:p w:rsidR="009D266F" w:rsidRPr="006B4F2F" w:rsidRDefault="009D266F" w:rsidP="009D266F">
      <w:pPr>
        <w:pStyle w:val="EPComma"/>
      </w:pPr>
      <w:bookmarkStart w:id="8" w:name="TextBodyBegin"/>
      <w:bookmarkEnd w:id="8"/>
      <w:r w:rsidRPr="006B4F2F">
        <w:rPr>
          <w:i/>
          <w:iCs/>
        </w:rPr>
        <w:t>Европейският парламент</w:t>
      </w:r>
      <w:r w:rsidRPr="006B4F2F">
        <w:t>,</w:t>
      </w:r>
    </w:p>
    <w:p w:rsidR="009D266F" w:rsidRPr="006B4F2F" w:rsidRDefault="009D266F" w:rsidP="009D266F">
      <w:pPr>
        <w:pStyle w:val="NormalHanging12a"/>
      </w:pPr>
      <w:r w:rsidRPr="006B4F2F">
        <w:t>–</w:t>
      </w:r>
      <w:r w:rsidRPr="006B4F2F">
        <w:tab/>
        <w:t>като взе предвид член 314 от Договора за функционирането на Европейския съюз,</w:t>
      </w:r>
    </w:p>
    <w:p w:rsidR="009D266F" w:rsidRPr="006B4F2F" w:rsidRDefault="009D266F" w:rsidP="009D266F">
      <w:pPr>
        <w:pStyle w:val="NormalHanging12a"/>
      </w:pPr>
      <w:r w:rsidRPr="006B4F2F">
        <w:t>–</w:t>
      </w:r>
      <w:r w:rsidRPr="006B4F2F">
        <w:tab/>
        <w:t>като взе предвид член 106а от Договора за създаване на Европейската общност за атомна енергия,</w:t>
      </w:r>
    </w:p>
    <w:p w:rsidR="009D266F" w:rsidRPr="006B4F2F" w:rsidRDefault="009D266F" w:rsidP="009D266F">
      <w:pPr>
        <w:pStyle w:val="NormalHanging12a"/>
      </w:pPr>
      <w:r w:rsidRPr="006B4F2F">
        <w:t>–</w:t>
      </w:r>
      <w:r w:rsidRPr="006B4F2F">
        <w:tab/>
        <w:t>като взе предвид Регламент (ЕС, Евратом) 2018/1046 на Европейския парламент и на Съвета от 18 юли 2018 г. за финансовите правила, приложими за общия бюджет на Съюза, за изменение на регламенти (ЕС) № 1296/2013, (ЕС) № 1301/2013, (ЕС) № 1303/2013, (ЕС) № 1304/2013, (ЕС) № 1309/2013, (ЕС) № 1316/2013, (ЕС) № 223/2014 и (ЕС) № 283/2014 и на Решение № 541/2014/ЕС и за отмяна на Регламент (ЕС, Евратом) № 966/2012</w:t>
      </w:r>
      <w:r w:rsidRPr="006B4F2F">
        <w:rPr>
          <w:rStyle w:val="FootnoteReference"/>
        </w:rPr>
        <w:footnoteReference w:id="1"/>
      </w:r>
      <w:r w:rsidRPr="006B4F2F">
        <w:t>, и по-специално член 44 от него,</w:t>
      </w:r>
    </w:p>
    <w:p w:rsidR="009D266F" w:rsidRPr="006B4F2F" w:rsidRDefault="009D266F" w:rsidP="009D266F">
      <w:pPr>
        <w:pStyle w:val="NormalHanging12a"/>
      </w:pPr>
      <w:r w:rsidRPr="006B4F2F">
        <w:t>–</w:t>
      </w:r>
      <w:r w:rsidRPr="006B4F2F">
        <w:tab/>
        <w:t>като взе предвид Регламент (ЕС, Евратом) 2024/2509 на Европейския парламент и на Съвета от 23 септември 2024 г. относно финансовите правила, приложими за общия бюджет на Съюза</w:t>
      </w:r>
      <w:r w:rsidRPr="006B4F2F">
        <w:rPr>
          <w:rStyle w:val="FootnoteReference"/>
        </w:rPr>
        <w:footnoteReference w:id="2"/>
      </w:r>
      <w:r w:rsidRPr="006B4F2F">
        <w:t>, и по-специално член 44 от него,</w:t>
      </w:r>
    </w:p>
    <w:p w:rsidR="009D266F" w:rsidRPr="006B4F2F" w:rsidRDefault="009D266F" w:rsidP="009D266F">
      <w:pPr>
        <w:pStyle w:val="NormalHanging12a"/>
      </w:pPr>
      <w:r w:rsidRPr="006B4F2F">
        <w:t>–</w:t>
      </w:r>
      <w:r w:rsidRPr="006B4F2F">
        <w:tab/>
        <w:t>като взе предвид общия бюджет на Европейския съюз за финансовата 2024 година, приет окончателно на 22 ноември 2023 г.</w:t>
      </w:r>
      <w:r w:rsidRPr="006B4F2F">
        <w:rPr>
          <w:rStyle w:val="FootnoteReference"/>
        </w:rPr>
        <w:footnoteReference w:id="3"/>
      </w:r>
      <w:r w:rsidRPr="006B4F2F">
        <w:t>,</w:t>
      </w:r>
    </w:p>
    <w:p w:rsidR="009D266F" w:rsidRPr="006B4F2F" w:rsidRDefault="009D266F" w:rsidP="009D266F">
      <w:pPr>
        <w:pStyle w:val="NormalHanging12a"/>
      </w:pPr>
      <w:r w:rsidRPr="006B4F2F">
        <w:t>–</w:t>
      </w:r>
      <w:r w:rsidRPr="006B4F2F">
        <w:tab/>
        <w:t xml:space="preserve">като взе предвид Регламент (ЕС, Евратом) 2020/2093 на Съвета от </w:t>
      </w:r>
      <w:r w:rsidRPr="006B4F2F">
        <w:lastRenderedPageBreak/>
        <w:t>17 декември 2020 г. за определяне на многогодишната финансова рамка за годините 2021—2027</w:t>
      </w:r>
      <w:r w:rsidRPr="006B4F2F">
        <w:rPr>
          <w:rStyle w:val="FootnoteReference"/>
        </w:rPr>
        <w:footnoteReference w:id="4"/>
      </w:r>
      <w:r w:rsidRPr="006B4F2F">
        <w:t>,</w:t>
      </w:r>
    </w:p>
    <w:p w:rsidR="009D266F" w:rsidRPr="006B4F2F" w:rsidRDefault="009D266F" w:rsidP="009D266F">
      <w:pPr>
        <w:pStyle w:val="NormalHanging12a"/>
      </w:pPr>
      <w:r w:rsidRPr="006B4F2F">
        <w:t>–</w:t>
      </w:r>
      <w:r w:rsidRPr="006B4F2F">
        <w:tab/>
        <w:t>като взе предвид Междуинституционалното споразумение от 16 декември 2020 г. между Европейския парламент, Съвета на Европейския съюз и Европейската комисия относно бюджетната дисциплина, сътрудничеството по бюджетни въпроси и доброто финансово управление и относно новите собствени ресурси, включително пътна карта за въвеждането на нови собствени ресурси</w:t>
      </w:r>
      <w:r w:rsidRPr="006B4F2F">
        <w:rPr>
          <w:rStyle w:val="FootnoteReference"/>
        </w:rPr>
        <w:footnoteReference w:id="5"/>
      </w:r>
      <w:r w:rsidRPr="006B4F2F">
        <w:t>,</w:t>
      </w:r>
    </w:p>
    <w:p w:rsidR="009D266F" w:rsidRPr="006B4F2F" w:rsidRDefault="009D266F" w:rsidP="009D266F">
      <w:pPr>
        <w:pStyle w:val="NormalHanging12a"/>
      </w:pPr>
      <w:r w:rsidRPr="006B4F2F">
        <w:t>–</w:t>
      </w:r>
      <w:r w:rsidRPr="006B4F2F">
        <w:tab/>
        <w:t>като взе предвид Решение (ЕС, Евратом) 2020/2053 на Съвета от 14 декември 2020 г. относно системата на собствените ресурси на Европейския съюз и за отмяна на Решение 2014/335/ЕС, Евратом</w:t>
      </w:r>
      <w:r w:rsidRPr="006B4F2F">
        <w:rPr>
          <w:rStyle w:val="FootnoteReference"/>
        </w:rPr>
        <w:footnoteReference w:id="6"/>
      </w:r>
      <w:r w:rsidRPr="006B4F2F">
        <w:t>,</w:t>
      </w:r>
    </w:p>
    <w:p w:rsidR="009D266F" w:rsidRPr="006B4F2F" w:rsidRDefault="009D266F" w:rsidP="009D266F">
      <w:pPr>
        <w:pStyle w:val="NormalHanging12a"/>
      </w:pPr>
      <w:r w:rsidRPr="006B4F2F">
        <w:t>–</w:t>
      </w:r>
      <w:r w:rsidRPr="006B4F2F">
        <w:tab/>
        <w:t>като взе предвид проект на коригиращ бюджет № 4/2024, приет от Комисията на 19 юли 2024 г. (COM(2024)0931),</w:t>
      </w:r>
    </w:p>
    <w:p w:rsidR="009D266F" w:rsidRPr="006B4F2F" w:rsidRDefault="009D266F" w:rsidP="009D266F">
      <w:pPr>
        <w:pStyle w:val="NormalHanging12a"/>
      </w:pPr>
      <w:r w:rsidRPr="006B4F2F">
        <w:t>–</w:t>
      </w:r>
      <w:r w:rsidRPr="006B4F2F">
        <w:tab/>
        <w:t>като взе предвид позицията относно проект на коригиращ бюджет № 4/2024, приета от Съвета на 23 септември 2024 г. и предадена на Европейския парламент на 24 септември 2024 г. (13195/2024 – C10</w:t>
      </w:r>
      <w:r w:rsidRPr="006B4F2F">
        <w:noBreakHyphen/>
        <w:t>0109/2024),</w:t>
      </w:r>
    </w:p>
    <w:p w:rsidR="009D266F" w:rsidRPr="006B4F2F" w:rsidRDefault="009D266F" w:rsidP="009D266F">
      <w:pPr>
        <w:pStyle w:val="NormalHanging12a"/>
      </w:pPr>
      <w:r w:rsidRPr="006B4F2F">
        <w:t>–</w:t>
      </w:r>
      <w:r w:rsidRPr="006B4F2F">
        <w:tab/>
        <w:t>като взе предвид членове 96 и 98 от своя Правилник за дейността,</w:t>
      </w:r>
    </w:p>
    <w:p w:rsidR="009D266F" w:rsidRPr="006B4F2F" w:rsidRDefault="009D266F" w:rsidP="009D266F">
      <w:pPr>
        <w:pStyle w:val="NormalHanging12a"/>
      </w:pPr>
      <w:r w:rsidRPr="006B4F2F">
        <w:t>–</w:t>
      </w:r>
      <w:r w:rsidRPr="006B4F2F">
        <w:tab/>
        <w:t>като взе предвид доклада на комисията по бюджети (A10-0007/2024),</w:t>
      </w:r>
    </w:p>
    <w:p w:rsidR="009D266F" w:rsidRPr="006B4F2F" w:rsidRDefault="009D266F" w:rsidP="009D266F">
      <w:pPr>
        <w:pStyle w:val="NormalHanging12a"/>
      </w:pPr>
      <w:r w:rsidRPr="006B4F2F">
        <w:t>А.</w:t>
      </w:r>
      <w:r w:rsidRPr="006B4F2F">
        <w:tab/>
        <w:t>като има предвид, че основната цел на проект на коригиращ бюджет № 4/2024 е да се актуализира приходната част на бюджета, за да се вземат предвид последните събития и освен това да се коригира разходната част на бюджета по отношение на редица децентрализирани агенции;</w:t>
      </w:r>
    </w:p>
    <w:p w:rsidR="009D266F" w:rsidRPr="006B4F2F" w:rsidRDefault="009D266F" w:rsidP="009D266F">
      <w:pPr>
        <w:pStyle w:val="NormalHanging12a"/>
      </w:pPr>
      <w:r w:rsidRPr="006B4F2F">
        <w:t>Б.</w:t>
      </w:r>
      <w:r w:rsidRPr="006B4F2F">
        <w:tab/>
        <w:t xml:space="preserve">като има предвид, че проект на коригиращ бюджет № 4/2024 предполага преразглеждане на прогнозите за собствените ресурси във връзка с митата, които са с 18,3% по-ниски в сравнение с прогнозата от май 2023 г., във връзка с ДДС базата без таван, която е с 0,6% по-ниска от прогнозата от май 2023 г., във връзка с </w:t>
      </w:r>
      <w:proofErr w:type="spellStart"/>
      <w:r w:rsidRPr="006B4F2F">
        <w:t>нерециклираните</w:t>
      </w:r>
      <w:proofErr w:type="spellEnd"/>
      <w:r w:rsidRPr="006B4F2F">
        <w:t xml:space="preserve"> отпадъци от пластмасови опаковки, които са с 0,6% повече от прогнозата от май 2023 г., и във връзка с общата база въз основа на БНД на ЕС, която е с 0,3% по-висока в сравнение с прогнозата от май 2023 г.;</w:t>
      </w:r>
    </w:p>
    <w:p w:rsidR="009D266F" w:rsidRPr="006B4F2F" w:rsidRDefault="009D266F" w:rsidP="009D266F">
      <w:pPr>
        <w:pStyle w:val="NormalHanging12a"/>
      </w:pPr>
      <w:r w:rsidRPr="006B4F2F">
        <w:t>В.</w:t>
      </w:r>
      <w:r w:rsidRPr="006B4F2F">
        <w:tab/>
        <w:t>като има предвид, че с проект на коригиращ бюджет № 4/2024 също така се актуализира вноската на Обединеното кралство за 2024 г. съгласно споразумението за оттегляне, която вноска е в размер на 2,38 милиарда евро, намалена значително с 1,52 милиарда евро в сравнение с прогнозата, включена в бюджета за 2024 г.; като има предвид, че в проект на коригиращ бюджет № 4/2024 се вземат предвид също така глобите и санкциите, платени до края на май 2024 г., което увеличава първоначалната прогноза за глобите и санкциите в бюджета за 2024 г. с 513 милиона евро;</w:t>
      </w:r>
    </w:p>
    <w:p w:rsidR="009D266F" w:rsidRPr="006B4F2F" w:rsidRDefault="009D266F" w:rsidP="009D266F">
      <w:pPr>
        <w:pStyle w:val="NormalHanging12a"/>
      </w:pPr>
      <w:r w:rsidRPr="006B4F2F">
        <w:t>Г.</w:t>
      </w:r>
      <w:r w:rsidRPr="006B4F2F">
        <w:tab/>
        <w:t xml:space="preserve">като има предвид, че проект на коригиращ бюджет № 4/2024 предлага редица </w:t>
      </w:r>
      <w:r w:rsidRPr="006B4F2F">
        <w:lastRenderedPageBreak/>
        <w:t>корекции на финансирането на децентрализираните агенции с нетно увеличение в размер на общо 12 милиона евро и предложение за мобилизиране на Инструмента за гъвкавост за сума в размер на 13,2 милиона евро за покриване на увеличенията за Европейската агенция по лекарствата и Евроюст поради липсата на наличен марж по функция 2б на многогодишната финансова рамка (МФР);</w:t>
      </w:r>
    </w:p>
    <w:p w:rsidR="009D266F" w:rsidRPr="006B4F2F" w:rsidRDefault="009D266F" w:rsidP="009D266F">
      <w:pPr>
        <w:pStyle w:val="NormalHanging12a"/>
      </w:pPr>
      <w:r w:rsidRPr="006B4F2F">
        <w:t>1.</w:t>
      </w:r>
      <w:r w:rsidRPr="006B4F2F">
        <w:tab/>
        <w:t>приветства проект на коригиращ бюджет № 4/2024 във вида, в който е представен от Комисията;</w:t>
      </w:r>
    </w:p>
    <w:p w:rsidR="009D266F" w:rsidRPr="006B4F2F" w:rsidRDefault="009D266F" w:rsidP="009D266F">
      <w:pPr>
        <w:pStyle w:val="NormalHanging12a"/>
        <w:rPr>
          <w:bCs/>
          <w:iCs/>
          <w:szCs w:val="24"/>
        </w:rPr>
      </w:pPr>
      <w:r w:rsidRPr="006B4F2F">
        <w:t>2.</w:t>
      </w:r>
      <w:r w:rsidRPr="006B4F2F">
        <w:tab/>
        <w:t xml:space="preserve">отбелязва, че намаляването на размера на собствените ресурси, различни от БНД (по-специално по отношение на митата), и на размера на вноската на Обединеното кралство в бюджета води до увеличение на вноските на база БНД с 5,63 милиарда евро; отбелязва, че има значителна разлика между първоначалните прогнози за митата и вноската на Обединеното кралство, и призовава Комисията да проучи възможностите за подобряване на своите прогнози, което е жизненоважно за предвидимостта на бюджетното планиране; </w:t>
      </w:r>
    </w:p>
    <w:p w:rsidR="009D266F" w:rsidRPr="006B4F2F" w:rsidRDefault="009D266F" w:rsidP="009D266F">
      <w:pPr>
        <w:pStyle w:val="NormalHanging12a"/>
      </w:pPr>
      <w:r w:rsidRPr="006B4F2F">
        <w:t>3.</w:t>
      </w:r>
      <w:r w:rsidRPr="006B4F2F">
        <w:tab/>
        <w:t xml:space="preserve">подчертава, че с проект на коригиращ бюджет № 4/2024 брутните намаления на БНД за петте държави членки, които се ползват от тях, възлизат на малко под 5,4 милиарда евро нето; подчертава, че тези отстъпки са обвързани с инфлацията и следователно се увеличиха по-бързо от таваните на МФР, които се коригират ежегодно въз основа на </w:t>
      </w:r>
      <w:proofErr w:type="spellStart"/>
      <w:r w:rsidRPr="006B4F2F">
        <w:t>дефлатора</w:t>
      </w:r>
      <w:proofErr w:type="spellEnd"/>
      <w:r w:rsidRPr="006B4F2F">
        <w:t xml:space="preserve"> от 2%; подчертава, че тази аномалия увеличава тежестта за другите държави членки;</w:t>
      </w:r>
    </w:p>
    <w:p w:rsidR="009D266F" w:rsidRPr="006B4F2F" w:rsidRDefault="009D266F" w:rsidP="009D266F">
      <w:pPr>
        <w:pStyle w:val="NormalHanging12a"/>
      </w:pPr>
      <w:r w:rsidRPr="006B4F2F">
        <w:t>4.</w:t>
      </w:r>
      <w:r w:rsidRPr="006B4F2F">
        <w:tab/>
        <w:t>подчертава необходимостта от устойчиви приходи за бюджета на Съюза, който през последните години беше подложен на силен натиск, за да се реагира на различни кризи; поради това изразява съжаление относно липсата на напредък в Съвета по реформата на системата на собствените ресурси в съответствие с пътната карта в междуинституционалното споразумение;</w:t>
      </w:r>
      <w:r w:rsidRPr="006B4F2F">
        <w:rPr>
          <w:color w:val="1E1E1F"/>
          <w:shd w:val="clear" w:color="auto" w:fill="FFFFFF"/>
        </w:rPr>
        <w:t xml:space="preserve"> п</w:t>
      </w:r>
      <w:r w:rsidRPr="006B4F2F">
        <w:t xml:space="preserve">рипомня </w:t>
      </w:r>
      <w:r w:rsidRPr="006B4F2F">
        <w:rPr>
          <w:color w:val="1E1E1F"/>
          <w:shd w:val="clear" w:color="auto" w:fill="FFFFFF"/>
        </w:rPr>
        <w:t xml:space="preserve">своята позиция в подкрепа на изменените предложения на Комисията и </w:t>
      </w:r>
      <w:r w:rsidRPr="006B4F2F">
        <w:t>настоятелно призовава Съвета и държавите членки бързо да приемат тези предложения с цел увеличаване на собствените ресурси, с които разполага бюджетът на Съюза; припомня дългогодишната си позиция, че глобите и таксите следва да се използват като допълнителни приходи за бюджета на Съюза;</w:t>
      </w:r>
    </w:p>
    <w:p w:rsidR="009D266F" w:rsidRPr="006B4F2F" w:rsidRDefault="009D266F" w:rsidP="009D266F">
      <w:pPr>
        <w:pStyle w:val="NormalHanging12a"/>
      </w:pPr>
      <w:r w:rsidRPr="006B4F2F">
        <w:t>5.</w:t>
      </w:r>
      <w:r w:rsidRPr="006B4F2F">
        <w:tab/>
        <w:t>отново изразява дългогодишната си позиция, че за новите приоритети е необходимо ново финансиране; отбелязва поредицата от корекции на бюджетите на децентрализираните агенции, предимно в съответствие със задачите, възложени им съгласно наскоро приетото законодателство; припомня, че агенциите трябва да разполагат с необходимия персонал и бюджет, за да изпълняват правилно своите мандати; изразява съжаление, че в няколко случая допълнителните ресурси за децентрализирана агенция водят до съответно намаляване на програмния пакет;</w:t>
      </w:r>
    </w:p>
    <w:p w:rsidR="009D266F" w:rsidRPr="006B4F2F" w:rsidRDefault="009D266F" w:rsidP="009D266F">
      <w:pPr>
        <w:pStyle w:val="NormalHanging12a"/>
      </w:pPr>
      <w:r w:rsidRPr="006B4F2F">
        <w:t>6.</w:t>
      </w:r>
      <w:r w:rsidRPr="006B4F2F">
        <w:tab/>
        <w:t>изразява съжаление, че в действащата МФР до момента общо 1,5 милиарда евро са били или се предлага да бъдат преразпределени от програми към децентрализирани агенции; подчертава, че мащабът на преразпределенията е показателен за ограничените ресурси, с които разполага бюджетът на Съюза, и изтъква необходимостта от бюджетна гъвкавост за привеждане на ресурсите на агенциите в съответствие с промените в техните мандати и задачи за срока на действие на МФР;</w:t>
      </w:r>
    </w:p>
    <w:p w:rsidR="009D266F" w:rsidRPr="006B4F2F" w:rsidRDefault="009D266F" w:rsidP="009D266F">
      <w:pPr>
        <w:pStyle w:val="NormalHanging12a"/>
      </w:pPr>
      <w:r w:rsidRPr="006B4F2F">
        <w:lastRenderedPageBreak/>
        <w:t>7.</w:t>
      </w:r>
      <w:r w:rsidRPr="006B4F2F">
        <w:tab/>
        <w:t xml:space="preserve">отбелязва, че проект на коригиращ бюджет № 4/2024 предполага увеличение с 2 милиона евро на бюджета за Евроюст поради инфлационен натиск; подчертава, че като се има предвид, че инфлационният натиск очевидно е предизвикателство за всички децентрализирани агенции, като инфлацията надхвърля годишния </w:t>
      </w:r>
      <w:proofErr w:type="spellStart"/>
      <w:r w:rsidRPr="006B4F2F">
        <w:t>дефлатор</w:t>
      </w:r>
      <w:proofErr w:type="spellEnd"/>
      <w:r w:rsidRPr="006B4F2F">
        <w:t xml:space="preserve"> от 2%, с който се увеличават таваните на МФР, и в резултат на това разходите за човешки ресурси и оперативните разходи за децентрализираните агенции са подложени на значителен натиск, счита, че настоящото третиране на бюджетите на децентрализираните агенции отделно от административните разходи по функция 7 от МФР изисква допълнителен размисъл като част от подготовката на Комисията за МФР за периода след 2027 г.;</w:t>
      </w:r>
    </w:p>
    <w:p w:rsidR="009D266F" w:rsidRPr="006B4F2F" w:rsidRDefault="009D266F" w:rsidP="009D266F">
      <w:pPr>
        <w:pStyle w:val="NormalHanging12a"/>
      </w:pPr>
      <w:r w:rsidRPr="006B4F2F">
        <w:t>8.</w:t>
      </w:r>
      <w:r w:rsidRPr="006B4F2F">
        <w:tab/>
        <w:t>одобрява позицията на Съвета относно проект на коригиращ бюджет № 4/2024;</w:t>
      </w:r>
    </w:p>
    <w:p w:rsidR="009D266F" w:rsidRPr="006B4F2F" w:rsidRDefault="009D266F" w:rsidP="009D266F">
      <w:pPr>
        <w:pStyle w:val="NormalHanging12a"/>
      </w:pPr>
      <w:r w:rsidRPr="006B4F2F">
        <w:t>9.</w:t>
      </w:r>
      <w:r w:rsidRPr="006B4F2F">
        <w:tab/>
        <w:t xml:space="preserve">възлага на своя председател да обяви, че коригиращ бюджет № 4/2024 е окончателно приет, както и да осигури неговото публикуване в </w:t>
      </w:r>
      <w:r w:rsidRPr="006B4F2F">
        <w:rPr>
          <w:i/>
        </w:rPr>
        <w:t>Официален вестник на Европейския съюз</w:t>
      </w:r>
      <w:r w:rsidRPr="006B4F2F">
        <w:t>;</w:t>
      </w:r>
    </w:p>
    <w:p w:rsidR="009D266F" w:rsidRPr="006B4F2F" w:rsidRDefault="009D266F" w:rsidP="00800870">
      <w:pPr>
        <w:ind w:left="567" w:hanging="567"/>
      </w:pPr>
      <w:r w:rsidRPr="006B4F2F">
        <w:t>10.</w:t>
      </w:r>
      <w:r w:rsidRPr="006B4F2F">
        <w:tab/>
        <w:t>възлага на своя председател да предаде настоящата резолюция съответно на Съвета и на Комисията, както и на другите заинтересовани институции и органи и на националните парламенти.</w:t>
      </w:r>
    </w:p>
    <w:p w:rsidR="00E365E1" w:rsidRPr="006B4F2F" w:rsidRDefault="00E365E1" w:rsidP="00CF23B5">
      <w:bookmarkStart w:id="9" w:name="TextBodyEnd"/>
      <w:bookmarkEnd w:id="9"/>
    </w:p>
    <w:sectPr w:rsidR="00E365E1" w:rsidRPr="006B4F2F" w:rsidSect="006B4F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3B5" w:rsidRPr="006B4F2F" w:rsidRDefault="00CF23B5">
      <w:r w:rsidRPr="006B4F2F">
        <w:separator/>
      </w:r>
    </w:p>
  </w:endnote>
  <w:endnote w:type="continuationSeparator" w:id="0">
    <w:p w:rsidR="00CF23B5" w:rsidRPr="006B4F2F" w:rsidRDefault="00CF23B5">
      <w:r w:rsidRPr="006B4F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4F2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4F2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4F2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3B5" w:rsidRPr="006B4F2F" w:rsidRDefault="00CF23B5">
      <w:r w:rsidRPr="006B4F2F">
        <w:separator/>
      </w:r>
    </w:p>
  </w:footnote>
  <w:footnote w:type="continuationSeparator" w:id="0">
    <w:p w:rsidR="00CF23B5" w:rsidRPr="006B4F2F" w:rsidRDefault="00CF23B5">
      <w:r w:rsidRPr="006B4F2F">
        <w:continuationSeparator/>
      </w:r>
    </w:p>
  </w:footnote>
  <w:footnote w:id="1">
    <w:p w:rsidR="009D266F" w:rsidRPr="006B4F2F" w:rsidRDefault="009D266F" w:rsidP="006B4F2F">
      <w:pPr>
        <w:pStyle w:val="FootnoteText"/>
        <w:ind w:left="567" w:hanging="567"/>
        <w:rPr>
          <w:sz w:val="24"/>
          <w:lang w:val="bg-BG"/>
        </w:rPr>
      </w:pPr>
      <w:r w:rsidRPr="006B4F2F">
        <w:rPr>
          <w:rStyle w:val="FootnoteReference"/>
          <w:sz w:val="24"/>
          <w:lang w:val="bg-BG"/>
        </w:rPr>
        <w:footnoteRef/>
      </w:r>
      <w:r w:rsidR="006B4F2F" w:rsidRPr="006B4F2F">
        <w:rPr>
          <w:sz w:val="24"/>
          <w:lang w:val="bg-BG"/>
        </w:rPr>
        <w:t xml:space="preserve"> </w:t>
      </w:r>
      <w:r w:rsidR="006B4F2F" w:rsidRPr="006B4F2F">
        <w:rPr>
          <w:sz w:val="24"/>
          <w:lang w:val="bg-BG"/>
        </w:rPr>
        <w:tab/>
      </w:r>
      <w:r w:rsidRPr="006B4F2F">
        <w:rPr>
          <w:sz w:val="24"/>
          <w:lang w:val="bg-BG"/>
        </w:rPr>
        <w:t xml:space="preserve">OВ L 193, 30.7.2018 г., стр. 1, ELI: </w:t>
      </w:r>
      <w:hyperlink r:id="rId1" w:history="1">
        <w:r w:rsidRPr="006B4F2F">
          <w:rPr>
            <w:rStyle w:val="Hyperlink"/>
            <w:sz w:val="24"/>
            <w:lang w:val="bg-BG"/>
          </w:rPr>
          <w:t>http://data.europa.eu/eli/reg/2018/1046/oj</w:t>
        </w:r>
      </w:hyperlink>
      <w:r w:rsidRPr="006B4F2F">
        <w:rPr>
          <w:sz w:val="24"/>
          <w:lang w:val="bg-BG"/>
        </w:rPr>
        <w:t>.</w:t>
      </w:r>
    </w:p>
  </w:footnote>
  <w:footnote w:id="2">
    <w:p w:rsidR="009D266F" w:rsidRPr="006B4F2F" w:rsidRDefault="009D266F" w:rsidP="006B4F2F">
      <w:pPr>
        <w:pStyle w:val="FootnoteText"/>
        <w:ind w:left="567" w:hanging="567"/>
        <w:rPr>
          <w:sz w:val="24"/>
          <w:lang w:val="bg-BG"/>
        </w:rPr>
      </w:pPr>
      <w:r w:rsidRPr="006B4F2F">
        <w:rPr>
          <w:rStyle w:val="FootnoteReference"/>
          <w:sz w:val="24"/>
          <w:lang w:val="bg-BG"/>
        </w:rPr>
        <w:footnoteRef/>
      </w:r>
      <w:r w:rsidR="006B4F2F" w:rsidRPr="006B4F2F">
        <w:rPr>
          <w:sz w:val="24"/>
          <w:lang w:val="bg-BG"/>
        </w:rPr>
        <w:t xml:space="preserve"> </w:t>
      </w:r>
      <w:r w:rsidR="006B4F2F" w:rsidRPr="006B4F2F">
        <w:rPr>
          <w:sz w:val="24"/>
          <w:lang w:val="bg-BG"/>
        </w:rPr>
        <w:tab/>
      </w:r>
      <w:r w:rsidRPr="006B4F2F">
        <w:rPr>
          <w:sz w:val="24"/>
          <w:lang w:val="bg-BG"/>
        </w:rPr>
        <w:t xml:space="preserve">OВ L, 2024/2509, 26.9.2024 г., </w:t>
      </w:r>
      <w:hyperlink r:id="rId2" w:history="1">
        <w:r w:rsidRPr="006B4F2F">
          <w:rPr>
            <w:rStyle w:val="Hyperlink"/>
            <w:sz w:val="24"/>
            <w:lang w:val="bg-BG"/>
          </w:rPr>
          <w:t>http://data.europa.eu/eli/reg/2024/2509/oj</w:t>
        </w:r>
      </w:hyperlink>
      <w:r w:rsidRPr="006B4F2F">
        <w:rPr>
          <w:sz w:val="24"/>
          <w:lang w:val="bg-BG"/>
        </w:rPr>
        <w:t>.</w:t>
      </w:r>
    </w:p>
  </w:footnote>
  <w:footnote w:id="3">
    <w:p w:rsidR="009D266F" w:rsidRPr="006B4F2F" w:rsidRDefault="009D266F" w:rsidP="006B4F2F">
      <w:pPr>
        <w:pStyle w:val="FootnoteText"/>
        <w:ind w:left="567" w:hanging="567"/>
        <w:rPr>
          <w:sz w:val="24"/>
          <w:lang w:val="bg-BG"/>
        </w:rPr>
      </w:pPr>
      <w:r w:rsidRPr="006B4F2F">
        <w:rPr>
          <w:rStyle w:val="FootnoteReference"/>
          <w:sz w:val="24"/>
          <w:lang w:val="bg-BG"/>
        </w:rPr>
        <w:footnoteRef/>
      </w:r>
      <w:r w:rsidR="006B4F2F" w:rsidRPr="006B4F2F">
        <w:rPr>
          <w:sz w:val="24"/>
          <w:lang w:val="bg-BG"/>
        </w:rPr>
        <w:t xml:space="preserve"> </w:t>
      </w:r>
      <w:r w:rsidR="006B4F2F" w:rsidRPr="006B4F2F">
        <w:rPr>
          <w:sz w:val="24"/>
          <w:lang w:val="bg-BG"/>
        </w:rPr>
        <w:tab/>
      </w:r>
      <w:r w:rsidRPr="006B4F2F">
        <w:rPr>
          <w:sz w:val="24"/>
          <w:lang w:val="bg-BG"/>
        </w:rPr>
        <w:t xml:space="preserve">OВ L, 2024/207, 22.2.2024 г., ELI: </w:t>
      </w:r>
      <w:hyperlink r:id="rId3" w:history="1">
        <w:r w:rsidRPr="006B4F2F">
          <w:rPr>
            <w:rStyle w:val="Hyperlink"/>
            <w:sz w:val="24"/>
            <w:lang w:val="bg-BG"/>
          </w:rPr>
          <w:t>http://data.europa.eu/eli/budget/2024/207/oj</w:t>
        </w:r>
      </w:hyperlink>
      <w:r w:rsidRPr="006B4F2F">
        <w:rPr>
          <w:sz w:val="24"/>
          <w:lang w:val="bg-BG"/>
        </w:rPr>
        <w:t>.</w:t>
      </w:r>
    </w:p>
  </w:footnote>
  <w:footnote w:id="4">
    <w:p w:rsidR="009D266F" w:rsidRPr="006B4F2F" w:rsidRDefault="009D266F" w:rsidP="006B4F2F">
      <w:pPr>
        <w:pStyle w:val="FootnoteText"/>
        <w:ind w:left="567" w:hanging="567"/>
        <w:rPr>
          <w:sz w:val="24"/>
          <w:lang w:val="bg-BG"/>
        </w:rPr>
      </w:pPr>
      <w:r w:rsidRPr="006B4F2F">
        <w:rPr>
          <w:rStyle w:val="FootnoteReference"/>
          <w:sz w:val="24"/>
          <w:lang w:val="bg-BG"/>
        </w:rPr>
        <w:footnoteRef/>
      </w:r>
      <w:r w:rsidR="006B4F2F" w:rsidRPr="006B4F2F">
        <w:rPr>
          <w:sz w:val="24"/>
          <w:lang w:val="bg-BG"/>
        </w:rPr>
        <w:t xml:space="preserve"> </w:t>
      </w:r>
      <w:r w:rsidR="006B4F2F" w:rsidRPr="006B4F2F">
        <w:rPr>
          <w:sz w:val="24"/>
          <w:lang w:val="bg-BG"/>
        </w:rPr>
        <w:tab/>
      </w:r>
      <w:r w:rsidRPr="006B4F2F">
        <w:rPr>
          <w:sz w:val="24"/>
          <w:lang w:val="bg-BG"/>
        </w:rPr>
        <w:t xml:space="preserve">ОВ L 433 I, 22.12.2020 г., стр. 11, ELI: </w:t>
      </w:r>
      <w:hyperlink r:id="rId4" w:history="1">
        <w:r w:rsidRPr="006B4F2F">
          <w:rPr>
            <w:rStyle w:val="Hyperlink"/>
            <w:sz w:val="24"/>
            <w:lang w:val="bg-BG"/>
          </w:rPr>
          <w:t>http://data.europa.eu/eli/reg/2020/2093/oj</w:t>
        </w:r>
      </w:hyperlink>
      <w:r w:rsidRPr="006B4F2F">
        <w:rPr>
          <w:sz w:val="24"/>
          <w:lang w:val="bg-BG"/>
        </w:rPr>
        <w:t>.</w:t>
      </w:r>
    </w:p>
  </w:footnote>
  <w:footnote w:id="5">
    <w:p w:rsidR="009D266F" w:rsidRPr="006B4F2F" w:rsidRDefault="009D266F" w:rsidP="006B4F2F">
      <w:pPr>
        <w:pStyle w:val="FootnoteText"/>
        <w:ind w:left="567" w:hanging="567"/>
        <w:rPr>
          <w:sz w:val="24"/>
          <w:lang w:val="bg-BG"/>
        </w:rPr>
      </w:pPr>
      <w:r w:rsidRPr="006B4F2F">
        <w:rPr>
          <w:rStyle w:val="FootnoteReference"/>
          <w:sz w:val="24"/>
          <w:lang w:val="bg-BG"/>
        </w:rPr>
        <w:footnoteRef/>
      </w:r>
      <w:r w:rsidR="006B4F2F" w:rsidRPr="006B4F2F">
        <w:rPr>
          <w:sz w:val="24"/>
          <w:lang w:val="bg-BG"/>
        </w:rPr>
        <w:t xml:space="preserve"> </w:t>
      </w:r>
      <w:r w:rsidR="006B4F2F" w:rsidRPr="006B4F2F">
        <w:rPr>
          <w:sz w:val="24"/>
          <w:lang w:val="bg-BG"/>
        </w:rPr>
        <w:tab/>
      </w:r>
      <w:r w:rsidRPr="006B4F2F">
        <w:rPr>
          <w:sz w:val="24"/>
          <w:lang w:val="bg-BG"/>
        </w:rPr>
        <w:t xml:space="preserve">ОВ L 433 I, 22.12.2020 г., стр. 28, ELI: </w:t>
      </w:r>
      <w:hyperlink r:id="rId5" w:history="1">
        <w:r w:rsidRPr="006B4F2F">
          <w:rPr>
            <w:rStyle w:val="Hyperlink"/>
            <w:sz w:val="24"/>
            <w:lang w:val="bg-BG"/>
          </w:rPr>
          <w:t>http://data.europa.eu/eli/agree_interinstit/2020/1222/oj</w:t>
        </w:r>
      </w:hyperlink>
      <w:r w:rsidRPr="006B4F2F">
        <w:rPr>
          <w:sz w:val="24"/>
          <w:lang w:val="bg-BG"/>
        </w:rPr>
        <w:t>.</w:t>
      </w:r>
    </w:p>
  </w:footnote>
  <w:footnote w:id="6">
    <w:p w:rsidR="009D266F" w:rsidRPr="006B4F2F" w:rsidRDefault="009D266F" w:rsidP="006B4F2F">
      <w:pPr>
        <w:pStyle w:val="FootnoteText"/>
        <w:ind w:left="567" w:hanging="567"/>
        <w:rPr>
          <w:sz w:val="24"/>
          <w:lang w:val="bg-BG"/>
        </w:rPr>
      </w:pPr>
      <w:r w:rsidRPr="006B4F2F">
        <w:rPr>
          <w:rStyle w:val="FootnoteReference"/>
          <w:sz w:val="24"/>
          <w:lang w:val="bg-BG"/>
        </w:rPr>
        <w:footnoteRef/>
      </w:r>
      <w:r w:rsidR="006B4F2F" w:rsidRPr="006B4F2F">
        <w:rPr>
          <w:sz w:val="24"/>
          <w:lang w:val="bg-BG"/>
        </w:rPr>
        <w:t xml:space="preserve"> </w:t>
      </w:r>
      <w:r w:rsidR="006B4F2F" w:rsidRPr="006B4F2F">
        <w:rPr>
          <w:sz w:val="24"/>
          <w:lang w:val="bg-BG"/>
        </w:rPr>
        <w:tab/>
      </w:r>
      <w:r w:rsidRPr="006B4F2F">
        <w:rPr>
          <w:sz w:val="24"/>
          <w:lang w:val="bg-BG"/>
        </w:rPr>
        <w:t xml:space="preserve">OВ L 424, 15.12.2020 г., стр. 1, ELI: </w:t>
      </w:r>
      <w:hyperlink r:id="rId6" w:history="1">
        <w:r w:rsidRPr="006B4F2F">
          <w:rPr>
            <w:rStyle w:val="Hyperlink"/>
            <w:sz w:val="24"/>
            <w:lang w:val="bg-BG"/>
          </w:rPr>
          <w:t>http://data.europa.eu/eli/dec/2020/2053/oj</w:t>
        </w:r>
      </w:hyperlink>
      <w:r w:rsidRPr="006B4F2F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4F2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4F2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4F2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4"/>
    <w:docVar w:name="dvlangue" w:val="BG"/>
    <w:docVar w:name="dvnumam" w:val="0"/>
    <w:docVar w:name="dvpe" w:val="763.032"/>
    <w:docVar w:name="dvrapporteur" w:val="Докладчик: "/>
    <w:docVar w:name="dvtitre" w:val="Резолюция на Европейския парламент от ... 2024 г. относно позицията на Съвета относно проект на коригиращ бюджет № 4/2024 на Европейския съюз за финансовата 2024 година – Актуализация на приходите (собствените ресурси) и корекции за някои децентрализирани агенции(13195/2024 – C10-0109/2024 – 2024/0185(BUD))"/>
  </w:docVars>
  <w:rsids>
    <w:rsidRoot w:val="00CF23B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4F2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087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266F"/>
    <w:rsid w:val="00A1687D"/>
    <w:rsid w:val="00A376E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AE3"/>
    <w:rsid w:val="00C05BFE"/>
    <w:rsid w:val="00C23CD4"/>
    <w:rsid w:val="00C61C0C"/>
    <w:rsid w:val="00C941CB"/>
    <w:rsid w:val="00CC2357"/>
    <w:rsid w:val="00CF071A"/>
    <w:rsid w:val="00CF23B5"/>
    <w:rsid w:val="00D058B8"/>
    <w:rsid w:val="00D56C11"/>
    <w:rsid w:val="00D834A0"/>
    <w:rsid w:val="00D872DF"/>
    <w:rsid w:val="00D91E21"/>
    <w:rsid w:val="00DA7FCD"/>
    <w:rsid w:val="00DC5024"/>
    <w:rsid w:val="00E2743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815529"/>
  <w15:chartTrackingRefBased/>
  <w15:docId w15:val="{0E76C93F-7209-4ED5-9B2F-D16E5F4D5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D266F"/>
    <w:pPr>
      <w:spacing w:before="480" w:after="240"/>
    </w:pPr>
  </w:style>
  <w:style w:type="paragraph" w:customStyle="1" w:styleId="NormalHanging12a">
    <w:name w:val="NormalHanging12a"/>
    <w:basedOn w:val="Normal"/>
    <w:rsid w:val="009D266F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9D26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budget/2024/207/oj" TargetMode="External"/><Relationship Id="rId2" Type="http://schemas.openxmlformats.org/officeDocument/2006/relationships/hyperlink" Target="http://data.europa.eu/eli/reg/2024/2509/oj" TargetMode="External"/><Relationship Id="rId1" Type="http://schemas.openxmlformats.org/officeDocument/2006/relationships/hyperlink" Target="http://data.europa.eu/eli/reg/2018/1046/oj" TargetMode="External"/><Relationship Id="rId6" Type="http://schemas.openxmlformats.org/officeDocument/2006/relationships/hyperlink" Target="http://data.europa.eu/eli/dec/2020/2053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0/2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516CC-8F89-4411-9213-5720BADEA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1288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2024-10-22T13:07:00Z</dcterms:created>
  <dcterms:modified xsi:type="dcterms:W3CDTF">2024-10-22T13:07:00Z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A10-0007/2024</vt:lpwstr>
  </property>
  <property fmtid="{D5CDD505-2E9C-101B-9397-08002B2CF9AE}" pid="4" name="&lt;Type&gt;">
    <vt:lpwstr>RR</vt:lpwstr>
  </property>
</Properties>
</file>