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7F3" w:rsidTr="0010095E">
        <w:trPr>
          <w:trHeight w:hRule="exact" w:val="1418"/>
        </w:trPr>
        <w:tc>
          <w:tcPr>
            <w:tcW w:w="6804" w:type="dxa"/>
            <w:shd w:val="clear" w:color="auto" w:fill="auto"/>
            <w:vAlign w:val="center"/>
          </w:tcPr>
          <w:p w:rsidR="00751A4A" w:rsidRPr="00E707F3" w:rsidRDefault="00301764" w:rsidP="0010095E">
            <w:pPr>
              <w:pStyle w:val="EPName"/>
            </w:pPr>
            <w:bookmarkStart w:id="0" w:name="_GoBack"/>
            <w:bookmarkEnd w:id="0"/>
            <w:r w:rsidRPr="00E707F3">
              <w:t>Ευρωπαϊκό Κοινοβούλιο</w:t>
            </w:r>
          </w:p>
          <w:p w:rsidR="00751A4A" w:rsidRPr="00E707F3" w:rsidRDefault="005F1B17" w:rsidP="005F1B17">
            <w:pPr>
              <w:pStyle w:val="EPTerm"/>
              <w:rPr>
                <w:rStyle w:val="HideTWBExt"/>
                <w:noProof w:val="0"/>
                <w:vanish w:val="0"/>
                <w:color w:val="auto"/>
              </w:rPr>
            </w:pPr>
            <w:r w:rsidRPr="00E707F3">
              <w:t>2024</w:t>
            </w:r>
            <w:r w:rsidR="00817416" w:rsidRPr="00E707F3">
              <w:t>-202</w:t>
            </w:r>
            <w:r w:rsidRPr="00E707F3">
              <w:t>9</w:t>
            </w:r>
          </w:p>
        </w:tc>
        <w:tc>
          <w:tcPr>
            <w:tcW w:w="2268" w:type="dxa"/>
            <w:shd w:val="clear" w:color="auto" w:fill="auto"/>
          </w:tcPr>
          <w:p w:rsidR="00751A4A" w:rsidRPr="00E707F3" w:rsidRDefault="00187494" w:rsidP="0010095E">
            <w:pPr>
              <w:pStyle w:val="EPLogo"/>
            </w:pPr>
            <w:r w:rsidRPr="00E707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07F3" w:rsidRDefault="00D058B8" w:rsidP="004C5D52">
      <w:pPr>
        <w:pStyle w:val="LineTop"/>
      </w:pPr>
    </w:p>
    <w:p w:rsidR="00680577" w:rsidRPr="00E707F3" w:rsidRDefault="00301764" w:rsidP="00680577">
      <w:pPr>
        <w:pStyle w:val="EPBodyTA1"/>
      </w:pPr>
      <w:r w:rsidRPr="00E707F3">
        <w:t>ΚΕΙΜΕΝΑ ΠΟΥ ΕΓΚΡΙΘΗΚΑΝ</w:t>
      </w:r>
    </w:p>
    <w:p w:rsidR="00D058B8" w:rsidRPr="00E707F3" w:rsidRDefault="00D058B8" w:rsidP="00D058B8">
      <w:pPr>
        <w:pStyle w:val="LineBottom"/>
      </w:pPr>
    </w:p>
    <w:p w:rsidR="00301764" w:rsidRPr="00E707F3" w:rsidRDefault="00301764" w:rsidP="00301764">
      <w:pPr>
        <w:pStyle w:val="ATHeading1"/>
      </w:pPr>
      <w:bookmarkStart w:id="1" w:name="TANumber"/>
      <w:r w:rsidRPr="00E707F3">
        <w:t>P10_TA(2024)00</w:t>
      </w:r>
      <w:r w:rsidR="00E707F3" w:rsidRPr="00E707F3">
        <w:t>24</w:t>
      </w:r>
      <w:bookmarkEnd w:id="1"/>
    </w:p>
    <w:p w:rsidR="00301764" w:rsidRPr="00E707F3" w:rsidRDefault="00EE6122" w:rsidP="00EE6122">
      <w:pPr>
        <w:pStyle w:val="ATHeading2"/>
      </w:pPr>
      <w:bookmarkStart w:id="2" w:name="title"/>
      <w:r w:rsidRPr="00E707F3">
        <w:t>Σχέδιο διορθωτικού προϋπολογισμού αριθ. 4/2024: επικαιροποίηση των εσόδων (ίδιοι πόροι) και προσαρμογές σε ορισμένους αποκεντρωμένους οργανισμούς</w:t>
      </w:r>
      <w:bookmarkEnd w:id="2"/>
    </w:p>
    <w:p w:rsidR="00301764" w:rsidRPr="00E707F3" w:rsidRDefault="00301764" w:rsidP="00301764">
      <w:pPr>
        <w:rPr>
          <w:i/>
          <w:vanish/>
        </w:rPr>
      </w:pPr>
      <w:r w:rsidRPr="00E707F3">
        <w:rPr>
          <w:i/>
        </w:rPr>
        <w:fldChar w:fldCharType="begin"/>
      </w:r>
      <w:r w:rsidRPr="00E707F3">
        <w:rPr>
          <w:i/>
        </w:rPr>
        <w:instrText xml:space="preserve"> TC"(</w:instrText>
      </w:r>
      <w:bookmarkStart w:id="3" w:name="DocNumber"/>
      <w:r w:rsidRPr="00E707F3">
        <w:rPr>
          <w:i/>
        </w:rPr>
        <w:instrText>A10-0007/2024</w:instrText>
      </w:r>
      <w:bookmarkEnd w:id="3"/>
      <w:r w:rsidRPr="00E707F3">
        <w:rPr>
          <w:i/>
        </w:rPr>
        <w:instrText xml:space="preserve"> - Εισηγητής: Siegfried Mureşan)"\l3 \n&gt; \* MERGEFORMAT </w:instrText>
      </w:r>
      <w:r w:rsidRPr="00E707F3">
        <w:rPr>
          <w:i/>
        </w:rPr>
        <w:fldChar w:fldCharType="end"/>
      </w:r>
    </w:p>
    <w:p w:rsidR="00301764" w:rsidRPr="00E707F3" w:rsidRDefault="00301764" w:rsidP="00301764">
      <w:pPr>
        <w:rPr>
          <w:vanish/>
        </w:rPr>
      </w:pPr>
      <w:bookmarkStart w:id="4" w:name="Commission"/>
      <w:r w:rsidRPr="00E707F3">
        <w:rPr>
          <w:vanish/>
        </w:rPr>
        <w:t>Επιτροπή Προϋπολογισμών</w:t>
      </w:r>
      <w:bookmarkEnd w:id="4"/>
    </w:p>
    <w:p w:rsidR="00301764" w:rsidRPr="00E707F3" w:rsidRDefault="00301764" w:rsidP="00301764">
      <w:pPr>
        <w:rPr>
          <w:vanish/>
        </w:rPr>
      </w:pPr>
      <w:bookmarkStart w:id="5" w:name="PE"/>
      <w:r w:rsidRPr="00E707F3">
        <w:rPr>
          <w:vanish/>
        </w:rPr>
        <w:t>PE763.032</w:t>
      </w:r>
      <w:bookmarkEnd w:id="5"/>
    </w:p>
    <w:p w:rsidR="00EC1AF7" w:rsidRPr="00E707F3" w:rsidRDefault="00301764" w:rsidP="00CF454F">
      <w:pPr>
        <w:pStyle w:val="ATHeading3"/>
      </w:pPr>
      <w:bookmarkStart w:id="6" w:name="Sujet"/>
      <w:r w:rsidRPr="00E707F3">
        <w:t>Ψήφισμα του Ευρωπαϊκού Κοινοβουλίου</w:t>
      </w:r>
      <w:r w:rsidR="00CF454F" w:rsidRPr="00E707F3">
        <w:t xml:space="preserve"> της 22ας Οκτωβρίου 2024</w:t>
      </w:r>
      <w:r w:rsidRPr="00E707F3">
        <w:t xml:space="preserve"> σχετικά με τη θέση του Συμβουλίου επί του σχεδίου διορθωτικού προϋπολογισμού αριθ. 4/2024 της Ευρωπαϊκής Ένωσης για το οικονομικό έτος 2024 - </w:t>
      </w:r>
      <w:r w:rsidR="00CF454F" w:rsidRPr="00E707F3">
        <w:t>ε</w:t>
      </w:r>
      <w:r w:rsidRPr="00E707F3">
        <w:t>πικαιροποίηση των εσόδων (ίδιοι πόροι) και προσαρμογές σε ορισμένους αποκεντρωμένους οργανισμούς</w:t>
      </w:r>
      <w:bookmarkEnd w:id="6"/>
      <w:r w:rsidRPr="00E707F3">
        <w:t xml:space="preserve"> </w:t>
      </w:r>
      <w:bookmarkStart w:id="7" w:name="References"/>
      <w:r w:rsidRPr="00E707F3">
        <w:t>(13195/2024 – C10-0109/2024 – 2024/0185(BUD))</w:t>
      </w:r>
      <w:bookmarkStart w:id="8" w:name="TextBodyBegin"/>
      <w:bookmarkEnd w:id="7"/>
      <w:bookmarkEnd w:id="8"/>
    </w:p>
    <w:p w:rsidR="00EC1AF7" w:rsidRPr="00E707F3" w:rsidRDefault="00EC1AF7" w:rsidP="00EC1AF7">
      <w:pPr>
        <w:pStyle w:val="EPComma"/>
      </w:pPr>
      <w:r w:rsidRPr="00E707F3">
        <w:rPr>
          <w:i/>
        </w:rPr>
        <w:t>Το Ευρωπαϊκό Κοινοβούλιο</w:t>
      </w:r>
      <w:r w:rsidRPr="00E707F3">
        <w:t>,</w:t>
      </w:r>
    </w:p>
    <w:p w:rsidR="00EC1AF7" w:rsidRPr="00E707F3" w:rsidRDefault="00EC1AF7" w:rsidP="00CF454F">
      <w:pPr>
        <w:pStyle w:val="NormalHanging12a"/>
        <w:widowControl/>
      </w:pPr>
      <w:r w:rsidRPr="00E707F3">
        <w:t>–</w:t>
      </w:r>
      <w:r w:rsidRPr="00E707F3">
        <w:tab/>
        <w:t>έχοντας υπόψη το άρθρο 314 της Συνθήκης για τη λειτουργία της Ευρωπαϊκής Ένωσης,</w:t>
      </w:r>
    </w:p>
    <w:p w:rsidR="00EC1AF7" w:rsidRPr="00E707F3" w:rsidRDefault="00EC1AF7" w:rsidP="00CF454F">
      <w:pPr>
        <w:pStyle w:val="NormalHanging12a"/>
        <w:widowControl/>
      </w:pPr>
      <w:r w:rsidRPr="00E707F3">
        <w:t>–</w:t>
      </w:r>
      <w:r w:rsidRPr="00E707F3">
        <w:tab/>
        <w:t>έχοντας υπόψη το άρθρο 106α της Συνθήκης περί ιδρύσεως της Ευρωπαϊκής Κοινότητας Ατομικής Ενεργείας,</w:t>
      </w:r>
    </w:p>
    <w:p w:rsidR="00EC1AF7" w:rsidRPr="00E707F3" w:rsidRDefault="00EC1AF7" w:rsidP="00CF454F">
      <w:pPr>
        <w:pStyle w:val="NormalHanging12a"/>
        <w:widowControl/>
      </w:pPr>
      <w:r w:rsidRPr="00E707F3">
        <w:t>–</w:t>
      </w:r>
      <w:r w:rsidRPr="00E707F3">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707F3">
        <w:rPr>
          <w:rStyle w:val="FootnoteReference"/>
        </w:rPr>
        <w:footnoteReference w:id="1"/>
      </w:r>
      <w:r w:rsidRPr="00E707F3">
        <w:t>, και ιδίως το άρθρο 44,</w:t>
      </w:r>
    </w:p>
    <w:p w:rsidR="00EC1AF7" w:rsidRPr="00E707F3" w:rsidRDefault="00EC1AF7" w:rsidP="00CF454F">
      <w:pPr>
        <w:pStyle w:val="NormalHanging12a"/>
        <w:widowControl/>
      </w:pPr>
      <w:r w:rsidRPr="00E707F3">
        <w:t>–</w:t>
      </w:r>
      <w:r w:rsidRPr="00E707F3">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E707F3">
        <w:rPr>
          <w:rStyle w:val="FootnoteReference"/>
        </w:rPr>
        <w:footnoteReference w:id="2"/>
      </w:r>
      <w:r w:rsidRPr="00E707F3">
        <w:t>, και ιδίως το άρθρο 44,</w:t>
      </w:r>
    </w:p>
    <w:p w:rsidR="00EC1AF7" w:rsidRPr="00E707F3" w:rsidRDefault="00EC1AF7" w:rsidP="00CF454F">
      <w:pPr>
        <w:pStyle w:val="NormalHanging12a"/>
        <w:widowControl/>
      </w:pPr>
      <w:r w:rsidRPr="00E707F3">
        <w:t>–</w:t>
      </w:r>
      <w:r w:rsidRPr="00E707F3">
        <w:tab/>
        <w:t>έχοντας υπόψη τον γενικό προϋπολογισμό της Ευρωπαϊκής Ένωσης για το οικονομικό έτος 2024, που εκδόθηκε οριστικά στις 22 Νοεμβρίου 2023</w:t>
      </w:r>
      <w:r w:rsidRPr="00E707F3">
        <w:rPr>
          <w:rStyle w:val="FootnoteReference"/>
        </w:rPr>
        <w:footnoteReference w:id="3"/>
      </w:r>
      <w:r w:rsidRPr="00E707F3">
        <w:t>,</w:t>
      </w:r>
    </w:p>
    <w:p w:rsidR="00EC1AF7" w:rsidRPr="00E707F3" w:rsidRDefault="00EC1AF7" w:rsidP="00CF454F">
      <w:pPr>
        <w:pStyle w:val="NormalHanging12a"/>
        <w:widowControl/>
      </w:pPr>
      <w:r w:rsidRPr="00E707F3">
        <w:lastRenderedPageBreak/>
        <w:t>–</w:t>
      </w:r>
      <w:r w:rsidRPr="00E707F3">
        <w:tab/>
        <w:t>έχοντας υπόψη τον κανονισμό (ΕΕ, Ευρατόμ) 2020/2093 του Συμβουλίου, της 17ης</w:t>
      </w:r>
      <w:r w:rsidR="00CF454F" w:rsidRPr="00E707F3">
        <w:t> </w:t>
      </w:r>
      <w:r w:rsidRPr="00E707F3">
        <w:t>Δεκεμβρίου 2020, για τον καθορισμό του πολυετούς δημοσιονομικού πλαισίου για την περίοδο 2021-2027</w:t>
      </w:r>
      <w:r w:rsidRPr="00E707F3">
        <w:rPr>
          <w:rStyle w:val="FootnoteReference"/>
        </w:rPr>
        <w:footnoteReference w:id="4"/>
      </w:r>
      <w:r w:rsidRPr="00E707F3">
        <w:t>,</w:t>
      </w:r>
    </w:p>
    <w:p w:rsidR="00EC1AF7" w:rsidRPr="00E707F3" w:rsidRDefault="00EC1AF7" w:rsidP="00CF454F">
      <w:pPr>
        <w:pStyle w:val="NormalHanging12a"/>
        <w:widowControl/>
      </w:pPr>
      <w:r w:rsidRPr="00E707F3">
        <w:t>–</w:t>
      </w:r>
      <w:r w:rsidRPr="00E707F3">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E707F3">
        <w:rPr>
          <w:rStyle w:val="FootnoteReference"/>
        </w:rPr>
        <w:footnoteReference w:id="5"/>
      </w:r>
      <w:r w:rsidRPr="00E707F3">
        <w:t>,</w:t>
      </w:r>
    </w:p>
    <w:p w:rsidR="00EC1AF7" w:rsidRPr="00E707F3" w:rsidRDefault="00EC1AF7" w:rsidP="00CF454F">
      <w:pPr>
        <w:pStyle w:val="NormalHanging12a"/>
        <w:widowControl/>
      </w:pPr>
      <w:r w:rsidRPr="00E707F3">
        <w:t>–</w:t>
      </w:r>
      <w:r w:rsidRPr="00E707F3">
        <w:tab/>
        <w:t>έχοντας υπόψη την απόφαση (ΕΕ, Ευρατόμ) 2020/2053/ΕΕ του Συμβουλίου, της 14ης</w:t>
      </w:r>
      <w:r w:rsidR="00CF454F" w:rsidRPr="00E707F3">
        <w:t> </w:t>
      </w:r>
      <w:r w:rsidRPr="00E707F3">
        <w:t>Δεκεμβρίου 2020, για το σύστημα των ιδίων πόρων της Ευρωπαϊκής Ένωσης και για την κατάργηση της απόφασης 2014/335/ΕΕ, Ευρατόμ</w:t>
      </w:r>
      <w:r w:rsidRPr="00E707F3">
        <w:rPr>
          <w:rStyle w:val="FootnoteReference"/>
        </w:rPr>
        <w:footnoteReference w:id="6"/>
      </w:r>
      <w:r w:rsidRPr="00E707F3">
        <w:t>,</w:t>
      </w:r>
    </w:p>
    <w:p w:rsidR="00EC1AF7" w:rsidRPr="00E707F3" w:rsidRDefault="00EC1AF7" w:rsidP="00CF454F">
      <w:pPr>
        <w:pStyle w:val="NormalHanging12a"/>
        <w:widowControl/>
      </w:pPr>
      <w:r w:rsidRPr="00E707F3">
        <w:t>–</w:t>
      </w:r>
      <w:r w:rsidRPr="00E707F3">
        <w:tab/>
        <w:t>έχοντας υπόψη το σχέδιο διορθωτικού προϋπολογισμού αριθ. 4/2024, που εγκρίθηκε από την Επιτροπή στις 19 Ιουλίου 2024 (COM(2024)0931),</w:t>
      </w:r>
    </w:p>
    <w:p w:rsidR="00EC1AF7" w:rsidRPr="00E707F3" w:rsidRDefault="00EC1AF7" w:rsidP="00CF454F">
      <w:pPr>
        <w:pStyle w:val="NormalHanging12a"/>
        <w:widowControl/>
      </w:pPr>
      <w:r w:rsidRPr="00E707F3">
        <w:t>–</w:t>
      </w:r>
      <w:r w:rsidRPr="00E707F3">
        <w:tab/>
        <w:t>έχοντας υπόψη τη θέση επί του σχεδίου διορθωτικού προϋπολογισμού αριθ. 4/2024, η οποία εγκρίθηκε από το Συμβούλιο στις 23 Σεπτεμβρίου 2024 και διαβιβάστηκε στο Ευρωπαϊκό Κοινοβούλιο στις 24 Σεπτεμβρίου 2024 (13195/2024 – C10</w:t>
      </w:r>
      <w:r w:rsidRPr="00E707F3">
        <w:noBreakHyphen/>
        <w:t>0109/2024)</w:t>
      </w:r>
    </w:p>
    <w:p w:rsidR="00EC1AF7" w:rsidRPr="00E707F3" w:rsidRDefault="00EC1AF7" w:rsidP="00CF454F">
      <w:pPr>
        <w:pStyle w:val="NormalHanging12a"/>
        <w:widowControl/>
      </w:pPr>
      <w:r w:rsidRPr="00E707F3">
        <w:t>–</w:t>
      </w:r>
      <w:r w:rsidRPr="00E707F3">
        <w:tab/>
        <w:t>έχοντας υπόψη τα άρθρα 96 και 98 του Κανονισμού του,</w:t>
      </w:r>
    </w:p>
    <w:p w:rsidR="00EC1AF7" w:rsidRPr="00E707F3" w:rsidRDefault="00EC1AF7" w:rsidP="00CF454F">
      <w:pPr>
        <w:pStyle w:val="NormalHanging12a"/>
        <w:widowControl/>
      </w:pPr>
      <w:r w:rsidRPr="00E707F3">
        <w:t>–</w:t>
      </w:r>
      <w:r w:rsidRPr="00E707F3">
        <w:tab/>
        <w:t>έχοντας υπόψη την έκθεση της Επιτροπής Προϋπολογισμών (A10-0007/2024),</w:t>
      </w:r>
    </w:p>
    <w:p w:rsidR="00EC1AF7" w:rsidRPr="00E707F3" w:rsidRDefault="00EC1AF7" w:rsidP="00CF454F">
      <w:pPr>
        <w:pStyle w:val="NormalHanging12a"/>
        <w:widowControl/>
      </w:pPr>
      <w:r w:rsidRPr="00E707F3">
        <w:t>A.</w:t>
      </w:r>
      <w:r w:rsidRPr="00E707F3">
        <w:tab/>
        <w:t>λαμβάνοντας υπόψη ότι πρωταρχικός σκοπός του σχεδίου διορθωτικού προϋπολογισμού αριθ. 4/2024 είναι να επικαιροποιηθεί το σκέλος των εσόδων του προϋπολογισμού ώστε να ληφθούν υπόψη οι τελευταίες εξελίξεις και, επιπλέον, να προσαρμοστεί το σκέλος των δαπανών του προϋπολογισμού σε σχέση με ορισμένους αποκεντρωμένους οργανισμούς·</w:t>
      </w:r>
    </w:p>
    <w:p w:rsidR="00EC1AF7" w:rsidRPr="00E707F3" w:rsidRDefault="00EC1AF7" w:rsidP="00CF454F">
      <w:pPr>
        <w:pStyle w:val="NormalHanging12a"/>
        <w:widowControl/>
      </w:pPr>
      <w:r w:rsidRPr="00E707F3">
        <w:t>B.</w:t>
      </w:r>
      <w:r w:rsidRPr="00E707F3">
        <w:tab/>
        <w:t xml:space="preserve">λαμβάνοντας υπόψη ότι το σχέδιο διορθωτικού προϋπολογισμού αριθ. 4/2024 συνεπάγεται αναθεώρηση των προβλέψεων ιδίων πόρων σε σχέση με τους τελωνειακούς δασμούς, οι οποίοι είναι κατά 18,3 % χαμηλότεροι από την πρόβλεψη του Μαΐου </w:t>
      </w:r>
      <w:r w:rsidR="00CF454F" w:rsidRPr="00E707F3">
        <w:t xml:space="preserve">του </w:t>
      </w:r>
      <w:r w:rsidRPr="00E707F3">
        <w:t xml:space="preserve">2023, στη μη προσαρμοσμένη βάση ΦΠΑ, η οποία είναι κατά 0,6 % χαμηλότερη από την πρόβλεψη του Μαΐου 2023, στα μη ανακυκλωμένα απορρίμματα πλαστικών συσκευασιών, τα οποία είναι κατά 0,6 % υψηλότερη από την πρόβλεψη του Μαΐου </w:t>
      </w:r>
      <w:r w:rsidR="00CF454F" w:rsidRPr="00E707F3">
        <w:t xml:space="preserve">του </w:t>
      </w:r>
      <w:r w:rsidRPr="00E707F3">
        <w:t>2023, και στο σύνολο της βάσης ΑΕΕ της ΕΕ, η οποία είναι αυξημένη κατά 0,3 % σε σύγκριση με την πρόβλεψη του Μαΐου 2023·</w:t>
      </w:r>
    </w:p>
    <w:p w:rsidR="00EC1AF7" w:rsidRPr="00E707F3" w:rsidRDefault="00EC1AF7" w:rsidP="00CF454F">
      <w:pPr>
        <w:pStyle w:val="NormalHanging12a"/>
        <w:widowControl/>
      </w:pPr>
      <w:r w:rsidRPr="00E707F3">
        <w:t>Γ.</w:t>
      </w:r>
      <w:r w:rsidRPr="00E707F3">
        <w:tab/>
        <w:t xml:space="preserve">λαμβάνοντας υπόψη ότι το σχέδιο διορθωτικού προϋπολογισμού αριθ. 4/2024 επικαιροποιεί επίσης τη συνεισφορά του Ηνωμένου Βασιλείου για το 2024 σύμφωνα με τη συμφωνία αποχώρησης, η οποία ανέρχεται σε 2,38 δισεκατομμύρια EUR, ποσό που συνιστά σημαντική μείωση κατά 1,52 δισεκατομμύρια EUR σε σύγκριση με την εκτίμηση που περιλαμβάνεται στον προϋπολογισμό του 2024· λαμβάνοντας υπόψη ότι το σχέδιο διορθωτικού προϋπολογισμού αριθ. 4/2024 λαμβάνει επίσης υπόψη τα </w:t>
      </w:r>
      <w:r w:rsidRPr="00E707F3">
        <w:lastRenderedPageBreak/>
        <w:t>πρόστιμα και τις ποινές που εισπράχθηκαν έως το τέλος Μαΐου 2024, γεγονός που αυξάνει την αρχική πρόβλεψη για πρόστιμα και κυρώσεις στον προϋπολογισμό του 2024 κατά 513 εκατομμύρια EUR·</w:t>
      </w:r>
    </w:p>
    <w:p w:rsidR="00EC1AF7" w:rsidRPr="00E707F3" w:rsidRDefault="00EC1AF7" w:rsidP="00CF454F">
      <w:pPr>
        <w:pStyle w:val="NormalHanging12a"/>
        <w:widowControl/>
      </w:pPr>
      <w:r w:rsidRPr="00E707F3">
        <w:t>Δ.</w:t>
      </w:r>
      <w:r w:rsidRPr="00E707F3">
        <w:tab/>
        <w:t xml:space="preserve">λαμβάνοντας υπόψη ότι το σχέδιο διορθωτικού προϋπολογισμού αριθ. 4/2024 προτείνει ορισμένες προσαρμογές στη χρηματοδότηση των αποκεντρωμένων οργανισμών, με καθαρή αύξηση κατά 12 εκατομμύρια EUR συνολικά και πρόταση κινητοποίησης του μηχανισμού ευελιξίας για ποσό ύψους 13,2 εκατομμυρίων EUR για την κάλυψη αυξήσεων για τον Ευρωπαϊκό Οργανισμό Φαρμάκων και την </w:t>
      </w:r>
      <w:proofErr w:type="spellStart"/>
      <w:r w:rsidRPr="00E707F3">
        <w:t>Eurojust</w:t>
      </w:r>
      <w:proofErr w:type="spellEnd"/>
      <w:r w:rsidRPr="00E707F3">
        <w:t xml:space="preserve"> ελλείψει οποιουδήποτε διαθέσιμου περιθωρίου στο πλαίσιο του τομέα 2β του πολυετούς δημοσιονομικού πλαισίου («ΠΔΠ»)·</w:t>
      </w:r>
    </w:p>
    <w:p w:rsidR="00EC1AF7" w:rsidRPr="00E707F3" w:rsidRDefault="00E707F3" w:rsidP="00E707F3">
      <w:pPr>
        <w:pStyle w:val="NormalHanging12a"/>
        <w:widowControl/>
        <w:ind w:left="570" w:hanging="570"/>
      </w:pPr>
      <w:r w:rsidRPr="00E707F3">
        <w:t>1.</w:t>
      </w:r>
      <w:r w:rsidRPr="00E707F3">
        <w:tab/>
      </w:r>
      <w:r w:rsidR="00EC1AF7" w:rsidRPr="00E707F3">
        <w:t>εκφράζει την ικανοποίησή του για το σχέδιο διορθωτικού προϋπολογισμού αριθ. 4/2024, όπως υποβλήθηκε από την Επιτροπή·</w:t>
      </w:r>
    </w:p>
    <w:p w:rsidR="00EC1AF7" w:rsidRPr="00E707F3" w:rsidRDefault="00E707F3" w:rsidP="00E707F3">
      <w:pPr>
        <w:pStyle w:val="NormalHanging12a"/>
        <w:widowControl/>
        <w:ind w:left="570" w:hanging="570"/>
        <w:rPr>
          <w:bCs/>
          <w:iCs/>
          <w:szCs w:val="24"/>
        </w:rPr>
      </w:pPr>
      <w:r w:rsidRPr="00E707F3">
        <w:rPr>
          <w:bCs/>
          <w:iCs/>
          <w:szCs w:val="24"/>
        </w:rPr>
        <w:t>2.</w:t>
      </w:r>
      <w:r w:rsidRPr="00E707F3">
        <w:rPr>
          <w:bCs/>
          <w:iCs/>
          <w:szCs w:val="24"/>
        </w:rPr>
        <w:tab/>
      </w:r>
      <w:r w:rsidR="00EC1AF7" w:rsidRPr="00E707F3">
        <w:t>σημειώνει ότι η μείωση του ποσού των ιδίων πόρων εκτός του ΑΕΕ (ιδίως όσον αφορά τους τελωνειακούς δασμούς) και του ύψους της συνεισφοράς του Ηνωμένου Βασιλείου στον προϋπολογισμό οδηγεί σε αύξηση των συνεισφορών βάσει του ΑΕΕ κατά 5,63</w:t>
      </w:r>
      <w:r w:rsidR="00CF454F" w:rsidRPr="00E707F3">
        <w:t> </w:t>
      </w:r>
      <w:r w:rsidR="00EC1AF7" w:rsidRPr="00E707F3">
        <w:t xml:space="preserve">δισεκατομμύρια EUR· σημειώνει ότι υπάρχει σημαντική απόκλιση από την αρχική πρόβλεψη των τελωνειακών δασμών και τη συνεισφορά του Ηνωμένου Βασιλείου και καλεί την Επιτροπή να εξετάσει τα περιθώρια βελτίωσης των προβλέψεών της, η οποία είναι ζωτικής σημασίας για την προβλεψιμότητα του δημοσιονομικού προγραμματισμού· </w:t>
      </w:r>
    </w:p>
    <w:p w:rsidR="00EC1AF7" w:rsidRPr="00E707F3" w:rsidRDefault="00E707F3" w:rsidP="00E707F3">
      <w:pPr>
        <w:pStyle w:val="NormalHanging12a"/>
        <w:widowControl/>
        <w:ind w:left="570" w:hanging="570"/>
      </w:pPr>
      <w:r w:rsidRPr="00E707F3">
        <w:t>3.</w:t>
      </w:r>
      <w:r w:rsidRPr="00E707F3">
        <w:tab/>
      </w:r>
      <w:r w:rsidR="00EC1AF7" w:rsidRPr="00E707F3">
        <w:t>υπογραμμίζει ότι, με το σχέδιο διορθωτικού προϋπολογισμού αριθ. 4/2024, οι κατ’ αποκοπή μειώσεις του ΑΕΕ για τα πέντε δικαιούχα κράτη μέλη ανέρχονται σε ποσό μόλις λιγότερο από 5,4 δισεκατομμύρια EUR καθαρά· τονίζει ότι οι εν λόγω μειώσεις των συνεισφορών συνδέονται με τον πληθωρισμό και, κατά συνέπεια, η αύξησή τους υπερέβαινε την αντίστοιχη αύξηση των ανώτατων ορίων του ΠΔΠ, τα οποία προσαρμόζονται ετησίως με βάση τον αποπληθωριστή 2 %· υπογραμμίζει ότι αυτή η ανωμαλία οδηγεί σε αύξηση της επιβάρυνσης για τα υπόλοιπα κράτη μέλη·</w:t>
      </w:r>
    </w:p>
    <w:p w:rsidR="00EC1AF7" w:rsidRPr="00E707F3" w:rsidRDefault="00E707F3" w:rsidP="00E707F3">
      <w:pPr>
        <w:pStyle w:val="NormalHanging12a"/>
        <w:widowControl/>
        <w:ind w:left="570" w:hanging="570"/>
      </w:pPr>
      <w:r w:rsidRPr="00E707F3">
        <w:t>4.</w:t>
      </w:r>
      <w:r w:rsidRPr="00E707F3">
        <w:tab/>
      </w:r>
      <w:r w:rsidR="00EC1AF7" w:rsidRPr="00E707F3">
        <w:t xml:space="preserve">τονίζει την ανάγκη για βιώσιμα έσοδα για τον προϋπολογισμό της Ένωσης, ο οποίος έχει επιβαρυνθεί σημαντικά ώστε να ανταποκριθεί σε διάφορες κρίσεις τα τελευταία χρόνια· εκφράζει, επομένως, τη λύπη του για την απουσία προόδου στο Συμβούλιο όσον αφορά τη μεταρρύθμιση του συστήματος ιδίων πόρων </w:t>
      </w:r>
      <w:r w:rsidR="00EC1AF7" w:rsidRPr="00E707F3">
        <w:rPr>
          <w:color w:val="1E1E1F"/>
          <w:shd w:val="clear" w:color="auto" w:fill="FFFFFF"/>
        </w:rPr>
        <w:t>σύμφωνα με τον οδικό χάρτη της διοργανικής συμφωνίας· υ</w:t>
      </w:r>
      <w:r w:rsidR="00EC1AF7" w:rsidRPr="00E707F3">
        <w:t xml:space="preserve">πενθυμίζει </w:t>
      </w:r>
      <w:r w:rsidR="00EC1AF7" w:rsidRPr="00E707F3">
        <w:rPr>
          <w:color w:val="1E1E1F"/>
          <w:shd w:val="clear" w:color="auto" w:fill="FFFFFF"/>
        </w:rPr>
        <w:t>τη θέση του υπέρ των τροποποιημένων προτάσεων της Επιτροπής και</w:t>
      </w:r>
      <w:r w:rsidR="00EC1AF7" w:rsidRPr="00E707F3">
        <w:t xml:space="preserve"> παροτρύνει το Συμβούλιο και τα κράτη μέλη να εγκρίνουν ταχέως τις προτάσεις αυτές προκειμένου να αυξηθούν οι ίδιοι πόροι που είναι διαθέσιμοι για τον προϋπολογισμό της Ένωσης· υπενθυμίζει την πάγια θέση του ότι τα πρόστιμα και τα τέλη θα πρέπει να χρησιμοποιούνται ως συμπληρωματικά έσοδα για τον προϋπολογισμό της Ένωσης·</w:t>
      </w:r>
    </w:p>
    <w:p w:rsidR="00EC1AF7" w:rsidRPr="00E707F3" w:rsidRDefault="00E707F3" w:rsidP="00E707F3">
      <w:pPr>
        <w:pStyle w:val="NormalHanging12a"/>
        <w:widowControl/>
        <w:ind w:left="570" w:hanging="570"/>
      </w:pPr>
      <w:r w:rsidRPr="00E707F3">
        <w:t>5.</w:t>
      </w:r>
      <w:r w:rsidRPr="00E707F3">
        <w:tab/>
      </w:r>
      <w:r w:rsidR="00EC1AF7" w:rsidRPr="00E707F3">
        <w:t>επαναλαμβάνει την πάγια θέση του ότι οι νέες προτεραιότητες απαιτούν νέα χρηματοδότηση· σημειώνει τη σειρά προσαρμογών των προϋπολογισμών των αποκεντρωμένων οργανισμών, κυρίως σύμφωνα με τα καθήκοντα που τους έχουν ανατεθεί βάσει της πρόσφατα εγκριθείσας νομοθεσίας· υπενθυμίζει ότι οι οργανισμοί πρέπει να διαθέτουν το αναγκαίο προσωπικό και τον αναγκαίο προϋπολογισμό ώστε να εκτελούν δεόντως την εντολή τους· εκφράζει τη λύπη του για το γεγονός ότι, σε αρκετές περιπτώσεις, οι πρόσθετοι πόροι για έναν αποκεντρωμένο οργανισμό συνεπάγονται αντίστοιχη μείωση του κονδυλίου του προγράμματος·</w:t>
      </w:r>
    </w:p>
    <w:p w:rsidR="00EC1AF7" w:rsidRPr="00E707F3" w:rsidRDefault="00E707F3" w:rsidP="00E707F3">
      <w:pPr>
        <w:pStyle w:val="NormalHanging12a"/>
        <w:widowControl/>
        <w:ind w:left="570" w:hanging="570"/>
      </w:pPr>
      <w:r w:rsidRPr="00E707F3">
        <w:lastRenderedPageBreak/>
        <w:t>6.</w:t>
      </w:r>
      <w:r w:rsidRPr="00E707F3">
        <w:tab/>
      </w:r>
      <w:r w:rsidR="00EC1AF7" w:rsidRPr="00E707F3">
        <w:t>εκφράζει τη λύπη του για το γεγονός ότι, στο τρέχον ΠΔΠ, μέχρι στιγμής έχουν ανακατανεμηθεί ή προτείνεται να ανακατανεμηθούν συνολικά 1,5 δισεκατομμύρια EUR από προγράμματα σε αποκεντρωμένους οργανισμούς· υπογραμμίζει ότι το μέγεθος των ανακατανομών είναι ενδεικτικό των περιορισμένων πόρων που διατίθενται στον προϋπολογισμό της Ένωσης και τονίζει την ανάγκη δημοσιονομικής ευελιξίας για την προσαρμογή των πόρων των οργανισμών σύμφωνα με τις αλλαγές στις εντολές και τα καθήκοντά τους κατά τη διάρκεια του ΠΔΠ·</w:t>
      </w:r>
    </w:p>
    <w:p w:rsidR="00EC1AF7" w:rsidRPr="00E707F3" w:rsidRDefault="00E707F3" w:rsidP="00E707F3">
      <w:pPr>
        <w:pStyle w:val="NormalHanging12a"/>
        <w:widowControl/>
        <w:ind w:left="570" w:hanging="570"/>
      </w:pPr>
      <w:r w:rsidRPr="00E707F3">
        <w:t>7.</w:t>
      </w:r>
      <w:r w:rsidRPr="00E707F3">
        <w:tab/>
      </w:r>
      <w:r w:rsidR="00EC1AF7" w:rsidRPr="00E707F3">
        <w:t xml:space="preserve">σημειώνει ότι το σχέδιο διορθωτικού προϋπολογισμού αριθ. 4/2024 συνεπάγεται αύξηση κατά 2 εκατομμύρια EUR για την </w:t>
      </w:r>
      <w:proofErr w:type="spellStart"/>
      <w:r w:rsidR="00EC1AF7" w:rsidRPr="00E707F3">
        <w:t>Eurojust</w:t>
      </w:r>
      <w:proofErr w:type="spellEnd"/>
      <w:r w:rsidR="00EC1AF7" w:rsidRPr="00E707F3">
        <w:t xml:space="preserve"> λόγω πληθωριστικών πιέσεων· υπογραμμίζει ότι η πληθωριστική πίεση αποτελεί σαφώς πρόκληση για όλους τους αποκεντρωμένους οργανισμούς, δεδομένου ότι ο πληθωρισμός υπερβαίνει τον ετήσιο αποπληθωριστή 2 % με τον οποίο αυξάνονται τα ανώτατα όρια του ΠΔΠ και το κόστος προσωπικού και λειτουργίας για τους αποκεντρωμένους οργανισμούς υπό σημαντική πίεση, θεωρεί ότι η τρέχουσα μεταχείριση των προϋπολογισμών των αποκεντρωμένων οργανισμών ως χωριστών από τις διοικητικές δαπάνες στο πλαίσιο του τομέα 7 του ΠΔΠ απαιτεί περαιτέρω προβληματισμό στο πλαίσιο των προετοιμασιών της Επιτροπής για το ΠΔΠ μετά το 2027·</w:t>
      </w:r>
    </w:p>
    <w:p w:rsidR="00EC1AF7" w:rsidRPr="00E707F3" w:rsidRDefault="00E707F3" w:rsidP="00E707F3">
      <w:pPr>
        <w:pStyle w:val="NormalHanging12a"/>
        <w:widowControl/>
        <w:ind w:left="570" w:hanging="570"/>
      </w:pPr>
      <w:r w:rsidRPr="00E707F3">
        <w:t>8.</w:t>
      </w:r>
      <w:r w:rsidRPr="00E707F3">
        <w:tab/>
      </w:r>
      <w:r w:rsidR="00EC1AF7" w:rsidRPr="00E707F3">
        <w:t>εγκρίνει τη θέση του Συμβουλίου επί του σχεδίου διορθωτικού προϋπολογισμού αριθ. 4/2024·</w:t>
      </w:r>
    </w:p>
    <w:p w:rsidR="00EC1AF7" w:rsidRPr="00E707F3" w:rsidRDefault="00E707F3" w:rsidP="00E707F3">
      <w:pPr>
        <w:pStyle w:val="NormalHanging12a"/>
        <w:widowControl/>
        <w:ind w:left="570" w:hanging="570"/>
      </w:pPr>
      <w:r w:rsidRPr="00E707F3">
        <w:t>9.</w:t>
      </w:r>
      <w:r w:rsidRPr="00E707F3">
        <w:tab/>
      </w:r>
      <w:r w:rsidR="00EC1AF7" w:rsidRPr="00E707F3">
        <w:t xml:space="preserve">αναθέτει στην Πρόεδρό του να διαπιστώσει την οριστική έκδοση του διορθωτικού προϋπολογισμού αριθ. 4/2024 και να μεριμνήσει για τη δημοσίευσή του στην </w:t>
      </w:r>
      <w:r w:rsidR="00EC1AF7" w:rsidRPr="00E707F3">
        <w:rPr>
          <w:i/>
        </w:rPr>
        <w:t>Επίσημη Εφημερίδα της Ευρωπαϊκής Ένωσης</w:t>
      </w:r>
      <w:r w:rsidR="00EC1AF7" w:rsidRPr="00E707F3">
        <w:t>·</w:t>
      </w:r>
    </w:p>
    <w:p w:rsidR="00EC1AF7" w:rsidRPr="00E707F3" w:rsidRDefault="00E707F3" w:rsidP="00E707F3">
      <w:pPr>
        <w:widowControl/>
        <w:spacing w:after="240"/>
        <w:ind w:left="570" w:hanging="570"/>
      </w:pPr>
      <w:r w:rsidRPr="00E707F3">
        <w:t>10.</w:t>
      </w:r>
      <w:r w:rsidRPr="00E707F3">
        <w:tab/>
      </w:r>
      <w:r w:rsidR="00EC1AF7" w:rsidRPr="00E707F3">
        <w:t>αναθέτει στην Πρόεδρό του να διαβιβάσει το παρόν ψήφισμα στο Συμβούλιο, στην Επιτροπή, στα λοιπά ενδιαφερόμενα θεσμικά όργανα και οργανισμούς, καθώς και στα εθνικά κοινοβούλια.</w:t>
      </w:r>
    </w:p>
    <w:p w:rsidR="00CF454F" w:rsidRPr="00E707F3" w:rsidRDefault="00CF454F" w:rsidP="00CF454F">
      <w:pPr>
        <w:widowControl/>
        <w:spacing w:after="240"/>
        <w:ind w:left="567" w:hanging="567"/>
      </w:pPr>
    </w:p>
    <w:p w:rsidR="00E365E1" w:rsidRPr="00E707F3" w:rsidRDefault="00E365E1" w:rsidP="00CF454F">
      <w:pPr>
        <w:widowControl/>
        <w:spacing w:after="240"/>
        <w:ind w:left="567" w:hanging="567"/>
      </w:pPr>
      <w:bookmarkStart w:id="9" w:name="TextBodyEnd"/>
      <w:bookmarkEnd w:id="9"/>
    </w:p>
    <w:sectPr w:rsidR="00E365E1" w:rsidRPr="00E707F3" w:rsidSect="00A007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764" w:rsidRPr="00A007F6" w:rsidRDefault="00301764">
      <w:r w:rsidRPr="00A007F6">
        <w:separator/>
      </w:r>
    </w:p>
  </w:endnote>
  <w:endnote w:type="continuationSeparator" w:id="0">
    <w:p w:rsidR="00301764" w:rsidRPr="00A007F6" w:rsidRDefault="00301764">
      <w:r w:rsidRPr="00A007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764" w:rsidRPr="00A007F6" w:rsidRDefault="00301764">
      <w:r w:rsidRPr="00A007F6">
        <w:separator/>
      </w:r>
    </w:p>
  </w:footnote>
  <w:footnote w:type="continuationSeparator" w:id="0">
    <w:p w:rsidR="00301764" w:rsidRPr="00A007F6" w:rsidRDefault="00301764">
      <w:r w:rsidRPr="00A007F6">
        <w:continuationSeparator/>
      </w:r>
    </w:p>
  </w:footnote>
  <w:footnote w:id="1">
    <w:p w:rsidR="00EC1AF7" w:rsidRPr="00A007F6" w:rsidRDefault="00EC1AF7" w:rsidP="00A007F6">
      <w:pPr>
        <w:pStyle w:val="FootnoteText"/>
        <w:ind w:left="567" w:hanging="567"/>
        <w:rPr>
          <w:sz w:val="24"/>
          <w:lang w:val="el-GR"/>
        </w:rPr>
      </w:pPr>
      <w:r w:rsidRPr="00A007F6">
        <w:rPr>
          <w:rStyle w:val="FootnoteReference"/>
          <w:sz w:val="24"/>
          <w:lang w:val="el-GR"/>
        </w:rPr>
        <w:footnoteRef/>
      </w:r>
      <w:r w:rsidR="00A007F6" w:rsidRPr="00A007F6">
        <w:rPr>
          <w:sz w:val="24"/>
          <w:lang w:val="el-GR"/>
        </w:rPr>
        <w:t xml:space="preserve"> </w:t>
      </w:r>
      <w:r w:rsidR="00A007F6" w:rsidRPr="00A007F6">
        <w:rPr>
          <w:sz w:val="24"/>
          <w:lang w:val="el-GR"/>
        </w:rPr>
        <w:tab/>
      </w:r>
      <w:r w:rsidRPr="00A007F6">
        <w:rPr>
          <w:sz w:val="24"/>
          <w:lang w:val="el-GR"/>
        </w:rPr>
        <w:t xml:space="preserve">ΕΕ L 193 της 30.7.2018, σ. 1, ELI: </w:t>
      </w:r>
      <w:hyperlink r:id="rId1" w:history="1">
        <w:r w:rsidRPr="00A007F6">
          <w:rPr>
            <w:rStyle w:val="Hyperlink"/>
            <w:sz w:val="24"/>
            <w:lang w:val="el-GR"/>
          </w:rPr>
          <w:t>http://data.europa.eu/eli/reg/2018/1046/oj</w:t>
        </w:r>
      </w:hyperlink>
      <w:r w:rsidRPr="00A007F6">
        <w:rPr>
          <w:sz w:val="24"/>
          <w:lang w:val="el-GR"/>
        </w:rPr>
        <w:t>.</w:t>
      </w:r>
    </w:p>
  </w:footnote>
  <w:footnote w:id="2">
    <w:p w:rsidR="00EC1AF7" w:rsidRPr="00A007F6" w:rsidRDefault="00EC1AF7" w:rsidP="00A007F6">
      <w:pPr>
        <w:pStyle w:val="FootnoteText"/>
        <w:ind w:left="567" w:hanging="567"/>
        <w:rPr>
          <w:sz w:val="24"/>
          <w:lang w:val="el-GR"/>
        </w:rPr>
      </w:pPr>
      <w:r w:rsidRPr="00A007F6">
        <w:rPr>
          <w:rStyle w:val="FootnoteReference"/>
          <w:sz w:val="24"/>
          <w:lang w:val="el-GR"/>
        </w:rPr>
        <w:footnoteRef/>
      </w:r>
      <w:r w:rsidR="00A007F6" w:rsidRPr="00A007F6">
        <w:rPr>
          <w:sz w:val="24"/>
          <w:lang w:val="el-GR"/>
        </w:rPr>
        <w:t xml:space="preserve"> </w:t>
      </w:r>
      <w:r w:rsidR="00A007F6" w:rsidRPr="00A007F6">
        <w:rPr>
          <w:sz w:val="24"/>
          <w:lang w:val="el-GR"/>
        </w:rPr>
        <w:tab/>
      </w:r>
      <w:r w:rsidRPr="00A007F6">
        <w:rPr>
          <w:sz w:val="24"/>
          <w:lang w:val="el-GR"/>
        </w:rPr>
        <w:t xml:space="preserve">ΕΕ L, 2024/2509, 26.9.2024, </w:t>
      </w:r>
      <w:hyperlink r:id="rId2" w:history="1">
        <w:r w:rsidRPr="00A007F6">
          <w:rPr>
            <w:rStyle w:val="Hyperlink"/>
            <w:sz w:val="24"/>
            <w:lang w:val="el-GR"/>
          </w:rPr>
          <w:t>http://data.europa.eu/eli/reg/2024/2509/oj</w:t>
        </w:r>
      </w:hyperlink>
      <w:r w:rsidRPr="00A007F6">
        <w:rPr>
          <w:sz w:val="24"/>
          <w:lang w:val="el-GR"/>
        </w:rPr>
        <w:t>.</w:t>
      </w:r>
    </w:p>
  </w:footnote>
  <w:footnote w:id="3">
    <w:p w:rsidR="00EC1AF7" w:rsidRPr="00CF454F" w:rsidRDefault="00EC1AF7" w:rsidP="00A007F6">
      <w:pPr>
        <w:pStyle w:val="FootnoteText"/>
        <w:ind w:left="567" w:hanging="567"/>
        <w:rPr>
          <w:sz w:val="24"/>
          <w:lang w:val="fi-FI"/>
        </w:rPr>
      </w:pPr>
      <w:r w:rsidRPr="00A007F6">
        <w:rPr>
          <w:rStyle w:val="FootnoteReference"/>
          <w:sz w:val="24"/>
          <w:lang w:val="el-GR"/>
        </w:rPr>
        <w:footnoteRef/>
      </w:r>
      <w:r w:rsidR="00A007F6" w:rsidRPr="00CF454F">
        <w:rPr>
          <w:sz w:val="24"/>
          <w:lang w:val="fi-FI"/>
        </w:rPr>
        <w:t xml:space="preserve"> </w:t>
      </w:r>
      <w:r w:rsidR="00A007F6" w:rsidRPr="00CF454F">
        <w:rPr>
          <w:sz w:val="24"/>
          <w:lang w:val="fi-FI"/>
        </w:rPr>
        <w:tab/>
      </w:r>
      <w:r w:rsidRPr="00A007F6">
        <w:rPr>
          <w:sz w:val="24"/>
          <w:lang w:val="el-GR"/>
        </w:rPr>
        <w:t>ΕΕ</w:t>
      </w:r>
      <w:r w:rsidRPr="00CF454F">
        <w:rPr>
          <w:sz w:val="24"/>
          <w:lang w:val="fi-FI"/>
        </w:rPr>
        <w:t xml:space="preserve"> L, 2024/207, 22.2.2024, ELI: </w:t>
      </w:r>
      <w:hyperlink r:id="rId3" w:history="1">
        <w:r w:rsidRPr="00CF454F">
          <w:rPr>
            <w:rStyle w:val="Hyperlink"/>
            <w:sz w:val="24"/>
            <w:lang w:val="fi-FI"/>
          </w:rPr>
          <w:t>http://data.europa.eu/eli/budget/2024/207/oj</w:t>
        </w:r>
      </w:hyperlink>
      <w:r w:rsidRPr="00CF454F">
        <w:rPr>
          <w:sz w:val="24"/>
          <w:lang w:val="fi-FI"/>
        </w:rPr>
        <w:t>.</w:t>
      </w:r>
    </w:p>
  </w:footnote>
  <w:footnote w:id="4">
    <w:p w:rsidR="00EC1AF7" w:rsidRPr="00A007F6" w:rsidRDefault="00EC1AF7" w:rsidP="00A007F6">
      <w:pPr>
        <w:pStyle w:val="FootnoteText"/>
        <w:ind w:left="567" w:hanging="567"/>
        <w:rPr>
          <w:sz w:val="24"/>
          <w:lang w:val="el-GR"/>
        </w:rPr>
      </w:pPr>
      <w:r w:rsidRPr="00A007F6">
        <w:rPr>
          <w:rStyle w:val="FootnoteReference"/>
          <w:sz w:val="24"/>
          <w:lang w:val="el-GR"/>
        </w:rPr>
        <w:footnoteRef/>
      </w:r>
      <w:r w:rsidR="00A007F6" w:rsidRPr="00A007F6">
        <w:rPr>
          <w:sz w:val="24"/>
          <w:lang w:val="el-GR"/>
        </w:rPr>
        <w:t xml:space="preserve"> </w:t>
      </w:r>
      <w:r w:rsidR="00A007F6" w:rsidRPr="00A007F6">
        <w:rPr>
          <w:sz w:val="24"/>
          <w:lang w:val="el-GR"/>
        </w:rPr>
        <w:tab/>
      </w:r>
      <w:r w:rsidRPr="00A007F6">
        <w:rPr>
          <w:sz w:val="24"/>
          <w:lang w:val="el-GR"/>
        </w:rPr>
        <w:t xml:space="preserve">ΕΕ L 433 I της 22.12.2020, σ. 11, ELI: </w:t>
      </w:r>
      <w:hyperlink r:id="rId4" w:history="1">
        <w:r w:rsidRPr="00A007F6">
          <w:rPr>
            <w:rStyle w:val="Hyperlink"/>
            <w:sz w:val="24"/>
            <w:lang w:val="el-GR"/>
          </w:rPr>
          <w:t>http://data.europa.eu/eli/reg/2020/2093/oj</w:t>
        </w:r>
      </w:hyperlink>
      <w:r w:rsidRPr="00A007F6">
        <w:rPr>
          <w:sz w:val="24"/>
          <w:lang w:val="el-GR"/>
        </w:rPr>
        <w:t>.</w:t>
      </w:r>
    </w:p>
  </w:footnote>
  <w:footnote w:id="5">
    <w:p w:rsidR="00EC1AF7" w:rsidRPr="00A007F6" w:rsidRDefault="00EC1AF7" w:rsidP="00A007F6">
      <w:pPr>
        <w:pStyle w:val="FootnoteText"/>
        <w:ind w:left="567" w:hanging="567"/>
        <w:rPr>
          <w:sz w:val="24"/>
          <w:lang w:val="el-GR"/>
        </w:rPr>
      </w:pPr>
      <w:r w:rsidRPr="00A007F6">
        <w:rPr>
          <w:rStyle w:val="FootnoteReference"/>
          <w:sz w:val="24"/>
          <w:lang w:val="el-GR"/>
        </w:rPr>
        <w:footnoteRef/>
      </w:r>
      <w:r w:rsidR="00A007F6" w:rsidRPr="00A007F6">
        <w:rPr>
          <w:sz w:val="24"/>
          <w:lang w:val="el-GR"/>
        </w:rPr>
        <w:t xml:space="preserve"> </w:t>
      </w:r>
      <w:r w:rsidR="00A007F6" w:rsidRPr="00A007F6">
        <w:rPr>
          <w:sz w:val="24"/>
          <w:lang w:val="el-GR"/>
        </w:rPr>
        <w:tab/>
      </w:r>
      <w:r w:rsidRPr="00A007F6">
        <w:rPr>
          <w:sz w:val="24"/>
          <w:lang w:val="el-GR"/>
        </w:rPr>
        <w:t xml:space="preserve">ΕΕ L 433 I της 22.12.2020, σ. 28, ELI: </w:t>
      </w:r>
      <w:hyperlink r:id="rId5" w:history="1">
        <w:r w:rsidRPr="00A007F6">
          <w:rPr>
            <w:rStyle w:val="Hyperlink"/>
            <w:sz w:val="24"/>
            <w:lang w:val="el-GR"/>
          </w:rPr>
          <w:t>http://data.europa.eu/eli/agree_interinstit/2020/1222/oj</w:t>
        </w:r>
      </w:hyperlink>
      <w:r w:rsidRPr="00A007F6">
        <w:rPr>
          <w:sz w:val="24"/>
          <w:lang w:val="el-GR"/>
        </w:rPr>
        <w:t>.</w:t>
      </w:r>
    </w:p>
  </w:footnote>
  <w:footnote w:id="6">
    <w:p w:rsidR="00EC1AF7" w:rsidRPr="00A007F6" w:rsidRDefault="00EC1AF7" w:rsidP="00A007F6">
      <w:pPr>
        <w:pStyle w:val="FootnoteText"/>
        <w:ind w:left="567" w:hanging="567"/>
        <w:rPr>
          <w:sz w:val="24"/>
          <w:lang w:val="el-GR"/>
        </w:rPr>
      </w:pPr>
      <w:r w:rsidRPr="00A007F6">
        <w:rPr>
          <w:rStyle w:val="FootnoteReference"/>
          <w:sz w:val="24"/>
          <w:lang w:val="el-GR"/>
        </w:rPr>
        <w:footnoteRef/>
      </w:r>
      <w:r w:rsidR="00A007F6" w:rsidRPr="00A007F6">
        <w:rPr>
          <w:sz w:val="24"/>
          <w:lang w:val="el-GR"/>
        </w:rPr>
        <w:t xml:space="preserve"> </w:t>
      </w:r>
      <w:r w:rsidR="00A007F6" w:rsidRPr="00A007F6">
        <w:rPr>
          <w:sz w:val="24"/>
          <w:lang w:val="el-GR"/>
        </w:rPr>
        <w:tab/>
      </w:r>
      <w:r w:rsidRPr="00A007F6">
        <w:rPr>
          <w:sz w:val="24"/>
          <w:lang w:val="el-GR"/>
        </w:rPr>
        <w:t xml:space="preserve">ΕΕ L 424 της 15.12.2020, σ. 1, ELI: </w:t>
      </w:r>
      <w:hyperlink r:id="rId6" w:history="1">
        <w:r w:rsidRPr="00A007F6">
          <w:rPr>
            <w:rStyle w:val="Hyperlink"/>
            <w:sz w:val="24"/>
            <w:lang w:val="el-GR"/>
          </w:rPr>
          <w:t>http://data.europa.eu/eli/dec/2020/2053/oj</w:t>
        </w:r>
      </w:hyperlink>
      <w:r w:rsidRPr="00A007F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7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844B6F"/>
    <w:multiLevelType w:val="hybridMultilevel"/>
    <w:tmpl w:val="54B07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4BF379D"/>
    <w:multiLevelType w:val="hybridMultilevel"/>
    <w:tmpl w:val="5B6EFCC6"/>
    <w:lvl w:ilvl="0" w:tplc="D3564AD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EL"/>
    <w:docVar w:name="dvnumam" w:val="0"/>
    <w:docVar w:name="dvpe" w:val="763.032"/>
    <w:docVar w:name="dvrapporteur" w:val="Εισηγητής: "/>
    <w:docVar w:name="dvtitre" w:val="Ψήφισμα του Ευρωπαϊκού Κοινοβουλίου σχετικά με τη θέση του Συμβουλίου επί του σχεδίου διορθωτικού προϋπολογισμού αριθ. 4/2024 της Ευρωπαϊκής Ένωσης για το οικονομικό έτος 2024 - Επικαιροποίηση των εσόδων (ίδιοι πόροι) και προσαρμογές σε ορισμένους αποκεντρωμένους οργανισμούς(13195/2024 – C10-0109/2024 – 2024/0185(BUD))"/>
  </w:docVars>
  <w:rsids>
    <w:rsidRoot w:val="00301764"/>
    <w:rsid w:val="00002272"/>
    <w:rsid w:val="00064002"/>
    <w:rsid w:val="000677B9"/>
    <w:rsid w:val="000831BA"/>
    <w:rsid w:val="000A42CC"/>
    <w:rsid w:val="000E7DD9"/>
    <w:rsid w:val="0010095E"/>
    <w:rsid w:val="00125B37"/>
    <w:rsid w:val="00187494"/>
    <w:rsid w:val="001F32AE"/>
    <w:rsid w:val="002767FF"/>
    <w:rsid w:val="002B18FE"/>
    <w:rsid w:val="002B5493"/>
    <w:rsid w:val="003017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7F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54F"/>
    <w:rsid w:val="00D058B8"/>
    <w:rsid w:val="00D56C11"/>
    <w:rsid w:val="00D834A0"/>
    <w:rsid w:val="00D872DF"/>
    <w:rsid w:val="00D91E21"/>
    <w:rsid w:val="00DA7FCD"/>
    <w:rsid w:val="00E365E1"/>
    <w:rsid w:val="00E707F3"/>
    <w:rsid w:val="00E820A4"/>
    <w:rsid w:val="00EB006A"/>
    <w:rsid w:val="00EB4772"/>
    <w:rsid w:val="00EC1AF7"/>
    <w:rsid w:val="00ED169E"/>
    <w:rsid w:val="00ED4235"/>
    <w:rsid w:val="00EE612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D90B5"/>
  <w15:chartTrackingRefBased/>
  <w15:docId w15:val="{47641B2B-B5D8-41D6-A298-9AB16B4E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1AF7"/>
    <w:pPr>
      <w:spacing w:before="480" w:after="240"/>
    </w:pPr>
  </w:style>
  <w:style w:type="paragraph" w:customStyle="1" w:styleId="NormalBold">
    <w:name w:val="NormalBold"/>
    <w:basedOn w:val="Normal"/>
    <w:rsid w:val="00EC1AF7"/>
    <w:rPr>
      <w:b/>
    </w:rPr>
  </w:style>
  <w:style w:type="paragraph" w:customStyle="1" w:styleId="NormalHanging12a">
    <w:name w:val="NormalHanging12a"/>
    <w:basedOn w:val="Normal"/>
    <w:rsid w:val="00EC1AF7"/>
    <w:pPr>
      <w:spacing w:after="240"/>
      <w:ind w:left="567" w:hanging="567"/>
    </w:pPr>
  </w:style>
  <w:style w:type="character" w:styleId="Hyperlink">
    <w:name w:val="Hyperlink"/>
    <w:basedOn w:val="DefaultParagraphFont"/>
    <w:uiPriority w:val="99"/>
    <w:rsid w:val="00EC1AF7"/>
    <w:rPr>
      <w:color w:val="0563C1" w:themeColor="hyperlink"/>
      <w:u w:val="single"/>
    </w:rPr>
  </w:style>
  <w:style w:type="paragraph" w:styleId="ListParagraph">
    <w:name w:val="List Paragraph"/>
    <w:basedOn w:val="Normal"/>
    <w:uiPriority w:val="34"/>
    <w:qFormat/>
    <w:rsid w:val="00CF454F"/>
    <w:pPr>
      <w:ind w:left="720"/>
      <w:contextualSpacing/>
    </w:pPr>
  </w:style>
  <w:style w:type="paragraph" w:styleId="BalloonText">
    <w:name w:val="Balloon Text"/>
    <w:basedOn w:val="Normal"/>
    <w:link w:val="BalloonTextChar"/>
    <w:rsid w:val="00CF454F"/>
    <w:rPr>
      <w:rFonts w:ascii="Segoe UI" w:hAnsi="Segoe UI" w:cs="Segoe UI"/>
      <w:sz w:val="18"/>
      <w:szCs w:val="18"/>
    </w:rPr>
  </w:style>
  <w:style w:type="character" w:customStyle="1" w:styleId="BalloonTextChar">
    <w:name w:val="Balloon Text Char"/>
    <w:basedOn w:val="DefaultParagraphFont"/>
    <w:link w:val="BalloonText"/>
    <w:rsid w:val="00CF454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C6334-6599-4C4A-AEB0-B8B9FC68E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1344</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2024-10-22T10:26:00Z</dcterms:created>
  <dcterms:modified xsi:type="dcterms:W3CDTF">2024-10-22T10:26:00Z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A10-0007/2024</vt:lpwstr>
  </property>
  <property fmtid="{D5CDD505-2E9C-101B-9397-08002B2CF9AE}" pid="4" name="&lt;Type&gt;">
    <vt:lpwstr>RR</vt:lpwstr>
  </property>
</Properties>
</file>