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39E2" w:rsidTr="0010095E">
        <w:trPr>
          <w:trHeight w:hRule="exact" w:val="1418"/>
        </w:trPr>
        <w:tc>
          <w:tcPr>
            <w:tcW w:w="6804" w:type="dxa"/>
            <w:shd w:val="clear" w:color="auto" w:fill="auto"/>
            <w:vAlign w:val="center"/>
          </w:tcPr>
          <w:p w:rsidR="00751A4A" w:rsidRPr="001C39E2" w:rsidRDefault="000E4D81" w:rsidP="0010095E">
            <w:pPr>
              <w:pStyle w:val="EPName"/>
            </w:pPr>
            <w:r w:rsidRPr="001C39E2">
              <w:t>Euroopan parlamentti</w:t>
            </w:r>
          </w:p>
          <w:p w:rsidR="00751A4A" w:rsidRPr="001C39E2" w:rsidRDefault="005F1B17" w:rsidP="005F1B17">
            <w:pPr>
              <w:pStyle w:val="EPTerm"/>
              <w:rPr>
                <w:rStyle w:val="HideTWBExt"/>
                <w:noProof w:val="0"/>
                <w:vanish w:val="0"/>
                <w:color w:val="auto"/>
              </w:rPr>
            </w:pPr>
            <w:r w:rsidRPr="001C39E2">
              <w:t>2024</w:t>
            </w:r>
            <w:r w:rsidR="00817416" w:rsidRPr="001C39E2">
              <w:t>-202</w:t>
            </w:r>
            <w:r w:rsidRPr="001C39E2">
              <w:t>9</w:t>
            </w:r>
          </w:p>
        </w:tc>
        <w:tc>
          <w:tcPr>
            <w:tcW w:w="2268" w:type="dxa"/>
            <w:shd w:val="clear" w:color="auto" w:fill="auto"/>
          </w:tcPr>
          <w:p w:rsidR="00751A4A" w:rsidRPr="001C39E2" w:rsidRDefault="00187494" w:rsidP="0010095E">
            <w:pPr>
              <w:pStyle w:val="EPLogo"/>
            </w:pPr>
            <w:r w:rsidRPr="001C39E2">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C39E2" w:rsidRDefault="00D058B8" w:rsidP="004C5D52">
      <w:pPr>
        <w:pStyle w:val="LineTop"/>
      </w:pPr>
    </w:p>
    <w:p w:rsidR="00680577" w:rsidRPr="001C39E2" w:rsidRDefault="000E4D81" w:rsidP="00680577">
      <w:pPr>
        <w:pStyle w:val="EPBodyTA1"/>
      </w:pPr>
      <w:r w:rsidRPr="001C39E2">
        <w:t>HYVÄKSYTYT TEKSTIT</w:t>
      </w:r>
    </w:p>
    <w:p w:rsidR="00D058B8" w:rsidRPr="001C39E2" w:rsidRDefault="00D058B8" w:rsidP="00D058B8">
      <w:pPr>
        <w:pStyle w:val="LineBottom"/>
      </w:pPr>
    </w:p>
    <w:p w:rsidR="000E4D81" w:rsidRPr="001C39E2" w:rsidRDefault="000E4D81" w:rsidP="000E4D81">
      <w:pPr>
        <w:pStyle w:val="ATHeading1"/>
      </w:pPr>
      <w:bookmarkStart w:id="0" w:name="TANumber"/>
      <w:r w:rsidRPr="001C39E2">
        <w:t>P10_</w:t>
      </w:r>
      <w:proofErr w:type="gramStart"/>
      <w:r w:rsidRPr="001C39E2">
        <w:t>TA(</w:t>
      </w:r>
      <w:proofErr w:type="gramEnd"/>
      <w:r w:rsidRPr="001C39E2">
        <w:t>2024)00</w:t>
      </w:r>
      <w:r w:rsidR="00B150A1">
        <w:t>24</w:t>
      </w:r>
      <w:bookmarkEnd w:id="0"/>
    </w:p>
    <w:p w:rsidR="000E4D81" w:rsidRPr="001C39E2" w:rsidRDefault="000E4D81" w:rsidP="000E4D81">
      <w:pPr>
        <w:pStyle w:val="ATHeading2"/>
      </w:pPr>
      <w:bookmarkStart w:id="1" w:name="title"/>
      <w:r w:rsidRPr="001C39E2">
        <w:t>Lisätalousarvioesitys nro 4/2024: tulojen tarkistaminen (omat varat) ja joitakin erillisvirastoja koskevat mukautukset</w:t>
      </w:r>
      <w:bookmarkEnd w:id="1"/>
    </w:p>
    <w:p w:rsidR="000E4D81" w:rsidRPr="001C39E2" w:rsidRDefault="000E4D81" w:rsidP="000E4D81">
      <w:pPr>
        <w:rPr>
          <w:i/>
          <w:vanish/>
        </w:rPr>
      </w:pPr>
      <w:r w:rsidRPr="001C39E2">
        <w:rPr>
          <w:i/>
        </w:rPr>
        <w:fldChar w:fldCharType="begin"/>
      </w:r>
      <w:r w:rsidRPr="001C39E2">
        <w:rPr>
          <w:i/>
        </w:rPr>
        <w:instrText xml:space="preserve"> TC"(</w:instrText>
      </w:r>
      <w:bookmarkStart w:id="2" w:name="DocNumber"/>
      <w:r w:rsidRPr="001C39E2">
        <w:rPr>
          <w:i/>
        </w:rPr>
        <w:instrText>A10-0007/2024</w:instrText>
      </w:r>
      <w:bookmarkEnd w:id="2"/>
      <w:r w:rsidRPr="001C39E2">
        <w:rPr>
          <w:i/>
        </w:rPr>
        <w:instrText xml:space="preserve"> - Esittelijä: Siegfried </w:instrText>
      </w:r>
      <w:proofErr w:type="spellStart"/>
      <w:r w:rsidRPr="001C39E2">
        <w:rPr>
          <w:i/>
        </w:rPr>
        <w:instrText>Mureşan</w:instrText>
      </w:r>
      <w:proofErr w:type="spellEnd"/>
      <w:r w:rsidRPr="001C39E2">
        <w:rPr>
          <w:i/>
        </w:rPr>
        <w:instrText xml:space="preserve">)"\l3 \n&gt; \* MERGEFORMAT </w:instrText>
      </w:r>
      <w:r w:rsidRPr="001C39E2">
        <w:rPr>
          <w:i/>
        </w:rPr>
        <w:fldChar w:fldCharType="end"/>
      </w:r>
    </w:p>
    <w:p w:rsidR="000E4D81" w:rsidRPr="001C39E2" w:rsidRDefault="000E4D81" w:rsidP="000E4D81">
      <w:pPr>
        <w:rPr>
          <w:vanish/>
        </w:rPr>
      </w:pPr>
      <w:bookmarkStart w:id="3" w:name="Commission"/>
      <w:r w:rsidRPr="001C39E2">
        <w:rPr>
          <w:vanish/>
        </w:rPr>
        <w:t>Budjettivaliokunta</w:t>
      </w:r>
      <w:bookmarkEnd w:id="3"/>
    </w:p>
    <w:p w:rsidR="000E4D81" w:rsidRPr="001C39E2" w:rsidRDefault="000E4D81" w:rsidP="000E4D81">
      <w:pPr>
        <w:rPr>
          <w:vanish/>
        </w:rPr>
      </w:pPr>
      <w:bookmarkStart w:id="4" w:name="PE"/>
      <w:r w:rsidRPr="001C39E2">
        <w:rPr>
          <w:vanish/>
        </w:rPr>
        <w:t>PE763.032</w:t>
      </w:r>
      <w:bookmarkEnd w:id="4"/>
    </w:p>
    <w:p w:rsidR="000E4D81" w:rsidRPr="001C39E2" w:rsidRDefault="000E4D81" w:rsidP="000E4D81">
      <w:pPr>
        <w:pStyle w:val="ATHeading3"/>
      </w:pPr>
      <w:bookmarkStart w:id="5" w:name="Sujet"/>
      <w:r w:rsidRPr="001C39E2">
        <w:t>Euroopan parlamentin päätöslauselma 22. lokakuuta 2024 neuvoston kannasta esitykseen Euroopan unionin lisätalousarvioksi nro 4/2024 varainhoitovuodeksi 2024 – Tulojen tarkistaminen (omat varat) ja joitakin erillisvirastoja koskevat mukautukset</w:t>
      </w:r>
      <w:bookmarkEnd w:id="5"/>
      <w:r w:rsidRPr="001C39E2">
        <w:t xml:space="preserve"> </w:t>
      </w:r>
      <w:bookmarkStart w:id="6" w:name="References"/>
      <w:r w:rsidRPr="001C39E2">
        <w:t>(13195/2024 – C10-0109/2024 – 2024/0185(BUD))</w:t>
      </w:r>
      <w:bookmarkEnd w:id="6"/>
    </w:p>
    <w:p w:rsidR="009B3B80" w:rsidRPr="001C39E2" w:rsidRDefault="009B3B80" w:rsidP="009B3B80">
      <w:pPr>
        <w:pStyle w:val="EPComma"/>
      </w:pPr>
      <w:bookmarkStart w:id="7" w:name="TextBodyBegin"/>
      <w:bookmarkEnd w:id="7"/>
      <w:r w:rsidRPr="001C39E2">
        <w:rPr>
          <w:i/>
          <w:iCs/>
        </w:rPr>
        <w:t>Euroopan parlamentti</w:t>
      </w:r>
      <w:r w:rsidRPr="001C39E2">
        <w:t>, joka</w:t>
      </w:r>
      <w:bookmarkStart w:id="8" w:name="_GoBack"/>
      <w:bookmarkEnd w:id="8"/>
    </w:p>
    <w:p w:rsidR="009B3B80" w:rsidRPr="001C39E2" w:rsidRDefault="009B3B80" w:rsidP="00D41759">
      <w:pPr>
        <w:pStyle w:val="NormalHanging12a"/>
        <w:widowControl/>
      </w:pPr>
      <w:r w:rsidRPr="001C39E2">
        <w:t>–</w:t>
      </w:r>
      <w:r w:rsidRPr="001C39E2">
        <w:tab/>
        <w:t>ottaa huomioon Euroopan unionin toiminnasta tehdyn sopimuksen 314 artiklan,</w:t>
      </w:r>
    </w:p>
    <w:p w:rsidR="009B3B80" w:rsidRPr="001C39E2" w:rsidRDefault="009B3B80" w:rsidP="00D41759">
      <w:pPr>
        <w:pStyle w:val="NormalHanging12a"/>
        <w:widowControl/>
      </w:pPr>
      <w:r w:rsidRPr="001C39E2">
        <w:t>–</w:t>
      </w:r>
      <w:r w:rsidRPr="001C39E2">
        <w:tab/>
        <w:t>ottaa huomioon Euroopan atomienergiayhteisön perustamissopimuksen 106 A artiklan,</w:t>
      </w:r>
    </w:p>
    <w:p w:rsidR="009B3B80" w:rsidRPr="001C39E2" w:rsidRDefault="009B3B80" w:rsidP="00D41759">
      <w:pPr>
        <w:pStyle w:val="NormalHanging12a"/>
        <w:widowControl/>
      </w:pPr>
      <w:r w:rsidRPr="001C39E2">
        <w:t>–</w:t>
      </w:r>
      <w:r w:rsidRPr="001C39E2">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1C39E2">
        <w:rPr>
          <w:rStyle w:val="FootnoteReference"/>
        </w:rPr>
        <w:footnoteReference w:id="1"/>
      </w:r>
      <w:r w:rsidRPr="001C39E2">
        <w:t xml:space="preserve"> ja erityisesti sen 44 artiklan,</w:t>
      </w:r>
    </w:p>
    <w:p w:rsidR="009B3B80" w:rsidRPr="001C39E2" w:rsidRDefault="009B3B80" w:rsidP="00D41759">
      <w:pPr>
        <w:pStyle w:val="NormalHanging12a"/>
        <w:widowControl/>
      </w:pPr>
      <w:r w:rsidRPr="001C39E2">
        <w:t>–</w:t>
      </w:r>
      <w:r w:rsidRPr="001C39E2">
        <w:tab/>
        <w:t>ottaa huomioon unionin yleiseen talousarvioon sovellettavista varainhoitosäännöistä 23. syyskuuta 2024 annetun Euroopan parlamentin ja neuvoston asetuksen (EU, Euratom) 2024/2509</w:t>
      </w:r>
      <w:r w:rsidRPr="001C39E2">
        <w:rPr>
          <w:rStyle w:val="FootnoteReference"/>
        </w:rPr>
        <w:footnoteReference w:id="2"/>
      </w:r>
      <w:r w:rsidRPr="001C39E2">
        <w:t xml:space="preserve"> ja erityisesti sen 44 artiklan,</w:t>
      </w:r>
    </w:p>
    <w:p w:rsidR="009B3B80" w:rsidRPr="001C39E2" w:rsidRDefault="009B3B80" w:rsidP="00D41759">
      <w:pPr>
        <w:pStyle w:val="NormalHanging12a"/>
        <w:widowControl/>
      </w:pPr>
      <w:r w:rsidRPr="001C39E2">
        <w:t>–</w:t>
      </w:r>
      <w:r w:rsidRPr="001C39E2">
        <w:tab/>
        <w:t>ottaa huomioon 22. marraskuuta 2023 lopullisesti hyväksytyn Euroopan unionin yleisen talousarvion varainhoitovuodeksi 2024</w:t>
      </w:r>
      <w:r w:rsidRPr="001C39E2">
        <w:rPr>
          <w:rStyle w:val="FootnoteReference"/>
        </w:rPr>
        <w:footnoteReference w:id="3"/>
      </w:r>
      <w:r w:rsidRPr="001C39E2">
        <w:t>,</w:t>
      </w:r>
    </w:p>
    <w:p w:rsidR="009B3B80" w:rsidRPr="001C39E2" w:rsidRDefault="009B3B80" w:rsidP="00D41759">
      <w:pPr>
        <w:pStyle w:val="NormalHanging12a"/>
        <w:widowControl/>
      </w:pPr>
      <w:r w:rsidRPr="001C39E2">
        <w:t>–</w:t>
      </w:r>
      <w:r w:rsidRPr="001C39E2">
        <w:tab/>
        <w:t>ottaa huomioon vuosia 2021–2027 koskevan monivuotisen rahoituskehyksen vahvistamisesta 17. joulukuuta 2020 annetun neuvoston asetuksen (EU, Euratom) 2020/2093</w:t>
      </w:r>
      <w:r w:rsidRPr="001C39E2">
        <w:rPr>
          <w:rStyle w:val="FootnoteReference"/>
        </w:rPr>
        <w:footnoteReference w:id="4"/>
      </w:r>
      <w:r w:rsidRPr="001C39E2">
        <w:t>,</w:t>
      </w:r>
    </w:p>
    <w:p w:rsidR="009B3B80" w:rsidRPr="001C39E2" w:rsidRDefault="009B3B80" w:rsidP="00D41759">
      <w:pPr>
        <w:pStyle w:val="NormalHanging12a"/>
        <w:widowControl/>
      </w:pPr>
      <w:r w:rsidRPr="001C39E2">
        <w:lastRenderedPageBreak/>
        <w:t>–</w:t>
      </w:r>
      <w:r w:rsidRPr="001C39E2">
        <w:tab/>
        <w:t>ottaa huomioon talousarviota koskevasta kurinalaisuudesta, talousarvioyhteistyöstä ja moitteettomasta varainhoidosta sekä uusista omista varoista, mukaan lukien etenemissuunnitelma uusien omien varojen käyttöönottamiseksi, 16. joulukuuta 2020 tehdyn Euroopan parlamentin, Euroopan unionin neuvoston ja Euroopan komission välisen toimielinten sopimuksen</w:t>
      </w:r>
      <w:r w:rsidRPr="001C39E2">
        <w:rPr>
          <w:rStyle w:val="FootnoteReference"/>
        </w:rPr>
        <w:footnoteReference w:id="5"/>
      </w:r>
      <w:r w:rsidRPr="001C39E2">
        <w:t>,</w:t>
      </w:r>
    </w:p>
    <w:p w:rsidR="009B3B80" w:rsidRPr="001C39E2" w:rsidRDefault="009B3B80" w:rsidP="00D41759">
      <w:pPr>
        <w:pStyle w:val="NormalHanging12a"/>
        <w:widowControl/>
      </w:pPr>
      <w:r w:rsidRPr="001C39E2">
        <w:t>–</w:t>
      </w:r>
      <w:r w:rsidRPr="001C39E2">
        <w:tab/>
        <w:t>ottaa huomioon Euroopan unionin omien varojen järjestelmästä ja päätöksen 2014/335/EU, Euratom kumoamisesta 14. joulukuuta 2020 annetun neuvoston päätöksen (EU, Euratom) 2020/2053</w:t>
      </w:r>
      <w:r w:rsidRPr="001C39E2">
        <w:rPr>
          <w:rStyle w:val="FootnoteReference"/>
        </w:rPr>
        <w:footnoteReference w:id="6"/>
      </w:r>
      <w:r w:rsidRPr="001C39E2">
        <w:t>,</w:t>
      </w:r>
    </w:p>
    <w:p w:rsidR="009B3B80" w:rsidRPr="001C39E2" w:rsidRDefault="009B3B80" w:rsidP="00D41759">
      <w:pPr>
        <w:pStyle w:val="NormalHanging12a"/>
        <w:widowControl/>
      </w:pPr>
      <w:r w:rsidRPr="001C39E2">
        <w:t>–</w:t>
      </w:r>
      <w:r w:rsidRPr="001C39E2">
        <w:tab/>
        <w:t>ottaa huomioon komission 19. heinäkuuta 2024 antaman esityksen lisätalousarvioksi nro 4/2024 (</w:t>
      </w:r>
      <w:proofErr w:type="gramStart"/>
      <w:r w:rsidRPr="001C39E2">
        <w:t>COM(</w:t>
      </w:r>
      <w:proofErr w:type="gramEnd"/>
      <w:r w:rsidRPr="001C39E2">
        <w:t>2024)0931),</w:t>
      </w:r>
    </w:p>
    <w:p w:rsidR="009B3B80" w:rsidRPr="001C39E2" w:rsidRDefault="009B3B80" w:rsidP="00D41759">
      <w:pPr>
        <w:pStyle w:val="NormalHanging12a"/>
        <w:widowControl/>
      </w:pPr>
      <w:r w:rsidRPr="001C39E2">
        <w:t>–</w:t>
      </w:r>
      <w:r w:rsidRPr="001C39E2">
        <w:tab/>
        <w:t>ottaa huomioon neuvoston 23. syyskuuta 2024 vahvistaman ja 24. syyskuuta 2024 parlamentille toimittaman kannan esitykseen lisätalousarvioksi nro 4/2024 (13195/2024 – C10</w:t>
      </w:r>
      <w:r w:rsidRPr="001C39E2">
        <w:noBreakHyphen/>
        <w:t>0109/2024),</w:t>
      </w:r>
    </w:p>
    <w:p w:rsidR="009B3B80" w:rsidRPr="001C39E2" w:rsidRDefault="009B3B80" w:rsidP="00D41759">
      <w:pPr>
        <w:pStyle w:val="NormalHanging12a"/>
        <w:widowControl/>
      </w:pPr>
      <w:r w:rsidRPr="001C39E2">
        <w:t>–</w:t>
      </w:r>
      <w:r w:rsidRPr="001C39E2">
        <w:tab/>
        <w:t>ottaa huomioon työjärjestyksen 96 ja 98 artiklan,</w:t>
      </w:r>
    </w:p>
    <w:p w:rsidR="009B3B80" w:rsidRPr="001C39E2" w:rsidRDefault="009B3B80" w:rsidP="00D41759">
      <w:pPr>
        <w:pStyle w:val="NormalHanging12a"/>
        <w:widowControl/>
      </w:pPr>
      <w:r w:rsidRPr="001C39E2">
        <w:t>–</w:t>
      </w:r>
      <w:r w:rsidRPr="001C39E2">
        <w:tab/>
        <w:t>ottaa huomioon budjettivaliokunnan mietinnön (A10-0007/2024),</w:t>
      </w:r>
    </w:p>
    <w:p w:rsidR="009B3B80" w:rsidRPr="001C39E2" w:rsidRDefault="009B3B80" w:rsidP="00D41759">
      <w:pPr>
        <w:pStyle w:val="NormalHanging12a"/>
        <w:widowControl/>
      </w:pPr>
      <w:r w:rsidRPr="001C39E2">
        <w:t>A.</w:t>
      </w:r>
      <w:r w:rsidRPr="001C39E2">
        <w:tab/>
        <w:t>ottaa huomioon, että lisätalousarvioesityksen nro 4/2024 ensisijaisena tarkoituksena on päivittää talousarvion tulopuolta viimeisimmän kehityksen huomioon ottamiseksi ja lisäksi mukauttaa talousarvion menopuolta eräiden erillisvirastojen osalta;</w:t>
      </w:r>
    </w:p>
    <w:p w:rsidR="009B3B80" w:rsidRPr="001C39E2" w:rsidRDefault="009B3B80" w:rsidP="00D41759">
      <w:pPr>
        <w:pStyle w:val="NormalHanging12a"/>
        <w:widowControl/>
      </w:pPr>
      <w:r w:rsidRPr="001C39E2">
        <w:t>B.</w:t>
      </w:r>
      <w:r w:rsidRPr="001C39E2">
        <w:tab/>
        <w:t>ottaa huomioon, että lisätalousarvioesitykseen nro 4/2024 sisältyy tarkistuksia omia varoja koskeviin ennusteisiin, jotka koskevat tullimaksujen määrää, joka on 18,3 prosenttia pienempi kuin toukokuun 2023 ennusteessa, rajaamatonta alv</w:t>
      </w:r>
      <w:r w:rsidRPr="001C39E2">
        <w:noBreakHyphen/>
        <w:t>määräytymisperustetta, joka on 0,6 prosenttia pienempi kuin toukokuun 2023 ennusteessa, kierrättämättömän muovipakkausjätteen määrää, joka on 0,6 prosenttia suurempi kuin toukokuun 2023 ennusteessa, sekä EU:n yhteenlaskettua BKTL</w:t>
      </w:r>
      <w:r w:rsidRPr="001C39E2">
        <w:noBreakHyphen/>
        <w:t>määräytymisperustetta, joka on 0,3 prosenttia suurempi kuin toukokuun 2023 ennusteessa;</w:t>
      </w:r>
    </w:p>
    <w:p w:rsidR="009B3B80" w:rsidRPr="001C39E2" w:rsidRDefault="009B3B80" w:rsidP="00D41759">
      <w:pPr>
        <w:pStyle w:val="NormalHanging12a"/>
        <w:widowControl/>
      </w:pPr>
      <w:r w:rsidRPr="001C39E2">
        <w:t>C.</w:t>
      </w:r>
      <w:r w:rsidRPr="001C39E2">
        <w:tab/>
        <w:t>ottaa huomioon, että lisätalousarvioesityksessä nro 4/2024 myös tarkistetaan erosopimuksen mukaisesti Yhdistyneen kuningaskunnan vuoden 2024 rahoitusosuutta, joka on 2,38 miljardia euroa, mikä tarkoittaa merkittävää 1,52 miljardin euron vähennystä verrattuna vuoden 2024 talousarvioon sisältyvään arvioon; ottaa huomioon, että lisäksi lisätalousarvioesityksessä nro 4/2024 otetaan huomioon toukokuun 2024 loppuun saakka maksetut sakot ja uhkasakot, mikä tarkoittaa 513 miljoonan euron lisäystä verrattuna vuoden 2024 talousarvioon sisältyvään sakkojen ja uhkasakkojen ennusteeseen;</w:t>
      </w:r>
    </w:p>
    <w:p w:rsidR="009B3B80" w:rsidRPr="001C39E2" w:rsidRDefault="009B3B80" w:rsidP="00D41759">
      <w:pPr>
        <w:pStyle w:val="NormalHanging12a"/>
        <w:widowControl/>
      </w:pPr>
      <w:r w:rsidRPr="001C39E2">
        <w:t>D.</w:t>
      </w:r>
      <w:r w:rsidRPr="001C39E2">
        <w:tab/>
        <w:t xml:space="preserve">ottaa huomioon, että lisätalousarvioesityksessä nro 4/2024 ehdotetaan erillisvirastojen rahoitukseen useita mukautuksia, joiden mukainen nettolisäys on kaikkiaan 12 miljoonaa euroa ja joihin sisältyy ehdotus ottaa joustovälineestä käyttöön 13,2 miljoonaa euroa Euroopan lääkevirastolle ja </w:t>
      </w:r>
      <w:proofErr w:type="spellStart"/>
      <w:r w:rsidRPr="001C39E2">
        <w:t>Eurojustille</w:t>
      </w:r>
      <w:proofErr w:type="spellEnd"/>
      <w:r w:rsidRPr="001C39E2">
        <w:t xml:space="preserve"> osoitettavien lisäysten </w:t>
      </w:r>
      <w:r w:rsidRPr="001C39E2">
        <w:lastRenderedPageBreak/>
        <w:t>kattamiseksi, koska monivuotisen rahoituskehyksen alaotsakkeessa 2 b ei ole jäljellä lainkaan liikkumavaraa;</w:t>
      </w:r>
    </w:p>
    <w:p w:rsidR="009B3B80" w:rsidRPr="001C39E2" w:rsidRDefault="009B3B80" w:rsidP="00D41759">
      <w:pPr>
        <w:pStyle w:val="NormalHanging12a"/>
        <w:widowControl/>
      </w:pPr>
      <w:r w:rsidRPr="001C39E2">
        <w:t>1.</w:t>
      </w:r>
      <w:r w:rsidRPr="001C39E2">
        <w:tab/>
        <w:t>suhtautuu myönteisesti komission esittämään lisätalousarvioesitykseen nro 4/2024;</w:t>
      </w:r>
    </w:p>
    <w:p w:rsidR="009B3B80" w:rsidRPr="001C39E2" w:rsidRDefault="009B3B80" w:rsidP="00D41759">
      <w:pPr>
        <w:pStyle w:val="NormalHanging12a"/>
        <w:widowControl/>
        <w:rPr>
          <w:bCs/>
          <w:iCs/>
          <w:szCs w:val="24"/>
        </w:rPr>
      </w:pPr>
      <w:r w:rsidRPr="001C39E2">
        <w:t>2.</w:t>
      </w:r>
      <w:r w:rsidRPr="001C39E2">
        <w:tab/>
        <w:t xml:space="preserve">panee merkille, että BKTL-maksuosuudet kasvavat 5,63 miljardia euroa sen seurauksena, että omien varojen määrä lukuun ottamatta BKTL-perusteisia omia varoja väheni (erityisesti tullimaksujen osalta) ja Yhdistyneen kuningaskunnan rahoitusosuus talousarvioon pieneni; panee merkille huomattavat poikkeamat tullimaksuja ja Yhdistyneen kuningaskunnan rahoitusosuutta koskeviin alustaviin ennusteisiin nähden ja kehottaa komissiota tutkimaan mahdollisuuksia parantaa ennusteitaan, sillä se on olennaisen tärkeää talousarviosuunnittelun ennakoitavuuden kannalta; </w:t>
      </w:r>
    </w:p>
    <w:p w:rsidR="009B3B80" w:rsidRPr="001C39E2" w:rsidRDefault="009B3B80" w:rsidP="00D41759">
      <w:pPr>
        <w:pStyle w:val="NormalHanging12a"/>
        <w:widowControl/>
      </w:pPr>
      <w:r w:rsidRPr="001C39E2">
        <w:t>3.</w:t>
      </w:r>
      <w:r w:rsidRPr="001C39E2">
        <w:tab/>
        <w:t xml:space="preserve">korostaa, että lisätalousarvioesityksen nro 4/2024 perusteella viiden edunsaajajäsenvaltion BKTL-maksuosuuksien kiinteämääräisten vähennysten nettomäärä on hieman alle 5,4 miljardia euroa; korostaa, että nämä alennukset ovat inflaatiosidonnaisia ja että ne ovat siksi kasvaneet enemmän kuin monivuotisen rahoituskehyksen enimmäismäärät, joita mukautetaan vuosittain kahden prosentin </w:t>
      </w:r>
      <w:proofErr w:type="spellStart"/>
      <w:r w:rsidRPr="001C39E2">
        <w:t>deflaattorin</w:t>
      </w:r>
      <w:proofErr w:type="spellEnd"/>
      <w:r w:rsidRPr="001C39E2">
        <w:t xml:space="preserve"> perusteella; painottaa, että tämä poikkeama lisää muiden jäsenvaltioiden taakkaa;</w:t>
      </w:r>
    </w:p>
    <w:p w:rsidR="009B3B80" w:rsidRPr="001C39E2" w:rsidRDefault="009B3B80" w:rsidP="00D41759">
      <w:pPr>
        <w:pStyle w:val="NormalHanging12a"/>
        <w:widowControl/>
      </w:pPr>
      <w:r w:rsidRPr="001C39E2">
        <w:t>4.</w:t>
      </w:r>
      <w:r w:rsidRPr="001C39E2">
        <w:tab/>
        <w:t>korostaa, että unionin talousarvioon tarvitaan kestäviä tuloja, sillä talousarvion varat ovat käymässä vähiin, kun viime vuosina on jouduttu vastaamaan erilaisiin kriiseihin; pitää siksi valitettavana, ettei neuvosto ole edennyt omien varojen järjestelmän uudistamisessa toimielinten väliseen sopimukseen sisältyvän etenemissuunnitelman mukaisesti;</w:t>
      </w:r>
      <w:r w:rsidRPr="001C39E2">
        <w:rPr>
          <w:color w:val="1E1E1F"/>
          <w:shd w:val="clear" w:color="auto" w:fill="FFFFFF"/>
        </w:rPr>
        <w:t xml:space="preserve"> </w:t>
      </w:r>
      <w:r w:rsidRPr="001C39E2">
        <w:t>palauttaa mieliin kantansa, jonka mukaan se tukee komission muutettuja ehdotuksia, ja kehottaa neuvostoa ja jäsenvaltioita hyväksymään kyseiset ehdotukset pikaisesti, jotta unionin talousarviota varten käytettävissä olevia omia varoja voidaan lisätä; palauttaa mieliin pitkäaikaisen kantansa, jonka mukaan sakkoja ja maksuja olisi käytettävä unionin talousarvion lisätuloina;</w:t>
      </w:r>
    </w:p>
    <w:p w:rsidR="009B3B80" w:rsidRPr="001C39E2" w:rsidRDefault="009B3B80" w:rsidP="00D41759">
      <w:pPr>
        <w:pStyle w:val="NormalHanging12a"/>
        <w:widowControl/>
      </w:pPr>
      <w:r w:rsidRPr="001C39E2">
        <w:t>5.</w:t>
      </w:r>
      <w:r w:rsidRPr="001C39E2">
        <w:tab/>
        <w:t>toistaa pitkäaikaisen kantansa, jonka mukaan uudet poliittiset painopisteet edellyttävät uusia varoja; panee merkille useat erillisvirastojen talousarvioihin tehdyt mukautukset, jotka perustuvat pääasiassa niille äskettäin hyväksytyssä lainsäädännössä annettuihin tehtäviin; muistuttaa, että virastoilla on oltava tarvittava henkilöstö ja talousarvio, jotta ne voivat täyttää asianmukaisesti toimeksiantonsa; pitää valitettavana, että useissa tapauksissa lisämäärärahojen osoittaminen erillisvirastolle vähentää vastaavasti ohjelmamäärärahoja;</w:t>
      </w:r>
    </w:p>
    <w:p w:rsidR="009B3B80" w:rsidRPr="001C39E2" w:rsidRDefault="009B3B80" w:rsidP="00D41759">
      <w:pPr>
        <w:pStyle w:val="NormalHanging12a"/>
        <w:widowControl/>
      </w:pPr>
      <w:r w:rsidRPr="001C39E2">
        <w:t>6.</w:t>
      </w:r>
      <w:r w:rsidRPr="001C39E2">
        <w:tab/>
        <w:t>pitää valitettavana, että nykyisessä monivuotisessa rahoituskehyksessä on tähän mennessä kohdennettu uudelleen tai ehdotettu kohdennettaviksi uudelleen yhteensä 1,5 miljardia euroa ohjelmista erillisvirastoille; korostaa, että uudelleenkohdentamisten suuri määrä on merkki unionin talousarviota varten käytettävissä olevien varojen niukkuudesta, ja painottaa, että talousarviossa tarvitaan joustoa, jotta virastojen resursseja voidaan mukauttaa, jos niiden toimeksiantoihin ja tehtäviin tehdään muutoksia monivuotisen rahoituskehyksen voimassaolon aikana;</w:t>
      </w:r>
    </w:p>
    <w:p w:rsidR="009B3B80" w:rsidRPr="001C39E2" w:rsidRDefault="009B3B80" w:rsidP="00D41759">
      <w:pPr>
        <w:pStyle w:val="NormalHanging12a"/>
        <w:widowControl/>
      </w:pPr>
      <w:r w:rsidRPr="001C39E2">
        <w:t>7.</w:t>
      </w:r>
      <w:r w:rsidRPr="001C39E2">
        <w:tab/>
        <w:t xml:space="preserve">panee merkille, että lisätalousarvioesitykseen nro 4/2024 sisältyy kahden miljoonan euron lisäys </w:t>
      </w:r>
      <w:proofErr w:type="spellStart"/>
      <w:r w:rsidRPr="001C39E2">
        <w:t>Eurojustille</w:t>
      </w:r>
      <w:proofErr w:type="spellEnd"/>
      <w:r w:rsidRPr="001C39E2">
        <w:t xml:space="preserve"> inflaatiopaineen vuoksi; katsoo, että inflaatiopaine on selvästi haaste kaikille erillisvirastoille, koska inflaatio ylittää vuotuisen kahden prosentin </w:t>
      </w:r>
      <w:proofErr w:type="spellStart"/>
      <w:r w:rsidRPr="001C39E2">
        <w:t>deflaattorin</w:t>
      </w:r>
      <w:proofErr w:type="spellEnd"/>
      <w:r w:rsidRPr="001C39E2">
        <w:t xml:space="preserve">, jonka perusteella monivuotisen rahoituskehyksen enimmäismääriä korotetaan, ja tämän seurauksena erillisvirastojen henkilöstö- ja toimintakuluihin </w:t>
      </w:r>
      <w:r w:rsidRPr="001C39E2">
        <w:lastRenderedPageBreak/>
        <w:t>kohdistuu merkittäviä paineita; katsoo, että nykyistä tapaa käsitellä erillisvirastojen talousarvioita erillään monivuotisen rahoituskehyksen otsakkeen 7 hallintomenoista on pohdittava tarkemmin komission valmistellessa vuoden 2027 jälkeistä monivuotista rahoituskehystä;</w:t>
      </w:r>
    </w:p>
    <w:p w:rsidR="009B3B80" w:rsidRPr="001C39E2" w:rsidRDefault="009B3B80" w:rsidP="00D41759">
      <w:pPr>
        <w:pStyle w:val="NormalHanging12a"/>
        <w:widowControl/>
      </w:pPr>
      <w:r w:rsidRPr="001C39E2">
        <w:t>8.</w:t>
      </w:r>
      <w:r w:rsidRPr="001C39E2">
        <w:tab/>
        <w:t>hyväksyy neuvoston kannan esitykseen lisätalousarvioksi nro 4/2024;</w:t>
      </w:r>
    </w:p>
    <w:p w:rsidR="009B3B80" w:rsidRPr="001C39E2" w:rsidRDefault="009B3B80" w:rsidP="00D41759">
      <w:pPr>
        <w:pStyle w:val="NormalHanging12a"/>
        <w:widowControl/>
      </w:pPr>
      <w:r w:rsidRPr="001C39E2">
        <w:t>9.</w:t>
      </w:r>
      <w:r w:rsidRPr="001C39E2">
        <w:tab/>
        <w:t xml:space="preserve">kehottaa puhemiestä toteamaan lisätalousarvion nro 4/2024 lopullisesti hyväksytyksi ja huolehtimaan sen julkaisemisesta </w:t>
      </w:r>
      <w:r w:rsidRPr="001C39E2">
        <w:rPr>
          <w:i/>
          <w:iCs/>
        </w:rPr>
        <w:t>Euroopan unionin virallisessa lehdessä</w:t>
      </w:r>
      <w:r w:rsidRPr="001C39E2">
        <w:t>;</w:t>
      </w:r>
    </w:p>
    <w:p w:rsidR="00E365E1" w:rsidRPr="001C39E2" w:rsidRDefault="009B3B80" w:rsidP="00D41759">
      <w:pPr>
        <w:widowControl/>
        <w:spacing w:after="240"/>
        <w:ind w:left="567" w:hanging="567"/>
      </w:pPr>
      <w:r w:rsidRPr="001C39E2">
        <w:t>10.</w:t>
      </w:r>
      <w:r w:rsidRPr="001C39E2">
        <w:tab/>
        <w:t>kehottaa puhemiestä välittämään tämän päätöslauselman neuvostolle ja komissiolle, asianomaisille muille toimielimille ja elimille sekä kansallisille parlamenteille.</w:t>
      </w:r>
      <w:bookmarkStart w:id="9" w:name="TextBodyEnd"/>
      <w:bookmarkEnd w:id="9"/>
    </w:p>
    <w:sectPr w:rsidR="00E365E1" w:rsidRPr="001C39E2" w:rsidSect="001C39E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4D81" w:rsidRPr="001C39E2" w:rsidRDefault="000E4D81">
      <w:r w:rsidRPr="001C39E2">
        <w:separator/>
      </w:r>
    </w:p>
  </w:endnote>
  <w:endnote w:type="continuationSeparator" w:id="0">
    <w:p w:rsidR="000E4D81" w:rsidRPr="001C39E2" w:rsidRDefault="000E4D81">
      <w:r w:rsidRPr="001C39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4D81" w:rsidRPr="001C39E2" w:rsidRDefault="000E4D81">
      <w:r w:rsidRPr="001C39E2">
        <w:separator/>
      </w:r>
    </w:p>
  </w:footnote>
  <w:footnote w:type="continuationSeparator" w:id="0">
    <w:p w:rsidR="000E4D81" w:rsidRPr="001C39E2" w:rsidRDefault="000E4D81">
      <w:r w:rsidRPr="001C39E2">
        <w:continuationSeparator/>
      </w:r>
    </w:p>
  </w:footnote>
  <w:footnote w:id="1">
    <w:p w:rsidR="009B3B80" w:rsidRPr="001C39E2" w:rsidRDefault="009B3B80" w:rsidP="001C39E2">
      <w:pPr>
        <w:pStyle w:val="FootnoteText"/>
        <w:ind w:left="567" w:hanging="567"/>
        <w:rPr>
          <w:sz w:val="24"/>
          <w:lang w:val="fi-FI"/>
        </w:rPr>
      </w:pPr>
      <w:r w:rsidRPr="001C39E2">
        <w:rPr>
          <w:rStyle w:val="FootnoteReference"/>
          <w:sz w:val="24"/>
          <w:lang w:val="fi-FI"/>
        </w:rPr>
        <w:footnoteRef/>
      </w:r>
      <w:r w:rsidR="001C39E2" w:rsidRPr="001C39E2">
        <w:rPr>
          <w:sz w:val="24"/>
          <w:lang w:val="fi-FI"/>
        </w:rPr>
        <w:t xml:space="preserve"> </w:t>
      </w:r>
      <w:r w:rsidR="001C39E2" w:rsidRPr="001C39E2">
        <w:rPr>
          <w:sz w:val="24"/>
          <w:lang w:val="fi-FI"/>
        </w:rPr>
        <w:tab/>
      </w:r>
      <w:r w:rsidRPr="001C39E2">
        <w:rPr>
          <w:sz w:val="24"/>
          <w:lang w:val="fi-FI"/>
        </w:rPr>
        <w:t xml:space="preserve">EUVL L 193, 30.7.2018, s. 1, ELI: </w:t>
      </w:r>
      <w:hyperlink r:id="rId1" w:history="1">
        <w:r w:rsidRPr="001C39E2">
          <w:rPr>
            <w:rStyle w:val="Hyperlink"/>
            <w:sz w:val="24"/>
            <w:lang w:val="fi-FI"/>
          </w:rPr>
          <w:t>http://data.europa.eu/eli/reg/2018/1046/oj</w:t>
        </w:r>
      </w:hyperlink>
      <w:r w:rsidRPr="001C39E2">
        <w:rPr>
          <w:sz w:val="24"/>
          <w:lang w:val="fi-FI"/>
        </w:rPr>
        <w:t>.</w:t>
      </w:r>
    </w:p>
  </w:footnote>
  <w:footnote w:id="2">
    <w:p w:rsidR="009B3B80" w:rsidRPr="00B150A1" w:rsidRDefault="009B3B80" w:rsidP="001C39E2">
      <w:pPr>
        <w:pStyle w:val="FootnoteText"/>
        <w:ind w:left="567" w:hanging="567"/>
        <w:rPr>
          <w:sz w:val="24"/>
        </w:rPr>
      </w:pPr>
      <w:r w:rsidRPr="001C39E2">
        <w:rPr>
          <w:rStyle w:val="FootnoteReference"/>
          <w:sz w:val="24"/>
          <w:lang w:val="fi-FI"/>
        </w:rPr>
        <w:footnoteRef/>
      </w:r>
      <w:r w:rsidR="001C39E2" w:rsidRPr="00B150A1">
        <w:rPr>
          <w:sz w:val="24"/>
        </w:rPr>
        <w:t xml:space="preserve"> </w:t>
      </w:r>
      <w:r w:rsidR="001C39E2" w:rsidRPr="00B150A1">
        <w:rPr>
          <w:sz w:val="24"/>
        </w:rPr>
        <w:tab/>
      </w:r>
      <w:r w:rsidRPr="00B150A1">
        <w:rPr>
          <w:sz w:val="24"/>
        </w:rPr>
        <w:t xml:space="preserve">EUVL L, 2024/2509, 26.9.2024, </w:t>
      </w:r>
      <w:hyperlink r:id="rId2" w:history="1">
        <w:r w:rsidRPr="00B150A1">
          <w:rPr>
            <w:rStyle w:val="Hyperlink"/>
            <w:sz w:val="24"/>
          </w:rPr>
          <w:t>http://data.europa.eu/eli/reg/2024/2509/oj</w:t>
        </w:r>
      </w:hyperlink>
      <w:r w:rsidRPr="00B150A1">
        <w:rPr>
          <w:sz w:val="24"/>
        </w:rPr>
        <w:t>.</w:t>
      </w:r>
    </w:p>
  </w:footnote>
  <w:footnote w:id="3">
    <w:p w:rsidR="009B3B80" w:rsidRPr="001C39E2" w:rsidRDefault="009B3B80" w:rsidP="001C39E2">
      <w:pPr>
        <w:pStyle w:val="FootnoteText"/>
        <w:ind w:left="567" w:hanging="567"/>
        <w:rPr>
          <w:sz w:val="24"/>
          <w:lang w:val="fi-FI"/>
        </w:rPr>
      </w:pPr>
      <w:r w:rsidRPr="001C39E2">
        <w:rPr>
          <w:rStyle w:val="FootnoteReference"/>
          <w:sz w:val="24"/>
          <w:lang w:val="fi-FI"/>
        </w:rPr>
        <w:footnoteRef/>
      </w:r>
      <w:r w:rsidR="001C39E2" w:rsidRPr="001C39E2">
        <w:rPr>
          <w:sz w:val="24"/>
          <w:lang w:val="fi-FI"/>
        </w:rPr>
        <w:t xml:space="preserve"> </w:t>
      </w:r>
      <w:r w:rsidR="001C39E2" w:rsidRPr="001C39E2">
        <w:rPr>
          <w:sz w:val="24"/>
          <w:lang w:val="fi-FI"/>
        </w:rPr>
        <w:tab/>
      </w:r>
      <w:r w:rsidRPr="001C39E2">
        <w:rPr>
          <w:sz w:val="24"/>
          <w:lang w:val="fi-FI"/>
        </w:rPr>
        <w:t xml:space="preserve">EUVL L, 2024/207, 22.2.2024, ELI: </w:t>
      </w:r>
      <w:r w:rsidR="00DC45ED">
        <w:fldChar w:fldCharType="begin"/>
      </w:r>
      <w:r w:rsidR="00DC45ED" w:rsidRPr="00DC45ED">
        <w:rPr>
          <w:lang w:val="fi-FI"/>
        </w:rPr>
        <w:instrText xml:space="preserve"> HYPERLINK "http://data.europa.eu/eli/budget/2024/207/oj" </w:instrText>
      </w:r>
      <w:r w:rsidR="00DC45ED">
        <w:fldChar w:fldCharType="separate"/>
      </w:r>
      <w:r w:rsidRPr="001C39E2">
        <w:rPr>
          <w:rStyle w:val="Hyperlink"/>
          <w:sz w:val="24"/>
          <w:lang w:val="fi-FI"/>
        </w:rPr>
        <w:t>http://data.europa.eu/eli/budget/2024/207/oj</w:t>
      </w:r>
      <w:r w:rsidR="00DC45ED">
        <w:rPr>
          <w:rStyle w:val="Hyperlink"/>
          <w:sz w:val="24"/>
          <w:lang w:val="fi-FI"/>
        </w:rPr>
        <w:fldChar w:fldCharType="end"/>
      </w:r>
      <w:r w:rsidRPr="001C39E2">
        <w:rPr>
          <w:sz w:val="24"/>
          <w:lang w:val="fi-FI"/>
        </w:rPr>
        <w:t>.</w:t>
      </w:r>
    </w:p>
  </w:footnote>
  <w:footnote w:id="4">
    <w:p w:rsidR="009B3B80" w:rsidRPr="001C39E2" w:rsidRDefault="009B3B80" w:rsidP="001C39E2">
      <w:pPr>
        <w:pStyle w:val="FootnoteText"/>
        <w:ind w:left="567" w:hanging="567"/>
        <w:rPr>
          <w:sz w:val="24"/>
          <w:lang w:val="fi-FI"/>
        </w:rPr>
      </w:pPr>
      <w:r w:rsidRPr="001C39E2">
        <w:rPr>
          <w:rStyle w:val="FootnoteReference"/>
          <w:sz w:val="24"/>
          <w:lang w:val="fi-FI"/>
        </w:rPr>
        <w:footnoteRef/>
      </w:r>
      <w:r w:rsidR="001C39E2" w:rsidRPr="001C39E2">
        <w:rPr>
          <w:sz w:val="24"/>
          <w:lang w:val="fi-FI"/>
        </w:rPr>
        <w:t xml:space="preserve"> </w:t>
      </w:r>
      <w:r w:rsidR="001C39E2" w:rsidRPr="001C39E2">
        <w:rPr>
          <w:sz w:val="24"/>
          <w:lang w:val="fi-FI"/>
        </w:rPr>
        <w:tab/>
      </w:r>
      <w:r w:rsidRPr="001C39E2">
        <w:rPr>
          <w:sz w:val="24"/>
          <w:lang w:val="fi-FI"/>
        </w:rPr>
        <w:t xml:space="preserve">EUVL L 433 I, 22.12.2020, s. 11, ELI: </w:t>
      </w:r>
      <w:r w:rsidR="00DC45ED">
        <w:fldChar w:fldCharType="begin"/>
      </w:r>
      <w:r w:rsidR="00DC45ED" w:rsidRPr="00DC45ED">
        <w:rPr>
          <w:lang w:val="fi-FI"/>
        </w:rPr>
        <w:instrText xml:space="preserve"> HYPERLINK "http://data.europa.eu/eli/reg/2020/2093/oj" </w:instrText>
      </w:r>
      <w:r w:rsidR="00DC45ED">
        <w:fldChar w:fldCharType="separate"/>
      </w:r>
      <w:r w:rsidRPr="001C39E2">
        <w:rPr>
          <w:rStyle w:val="Hyperlink"/>
          <w:sz w:val="24"/>
          <w:lang w:val="fi-FI"/>
        </w:rPr>
        <w:t>http://data.europa.eu/eli/reg/2020/2093/oj</w:t>
      </w:r>
      <w:r w:rsidR="00DC45ED">
        <w:rPr>
          <w:rStyle w:val="Hyperlink"/>
          <w:sz w:val="24"/>
          <w:lang w:val="fi-FI"/>
        </w:rPr>
        <w:fldChar w:fldCharType="end"/>
      </w:r>
      <w:r w:rsidRPr="001C39E2">
        <w:rPr>
          <w:sz w:val="24"/>
          <w:lang w:val="fi-FI"/>
        </w:rPr>
        <w:t>.</w:t>
      </w:r>
    </w:p>
  </w:footnote>
  <w:footnote w:id="5">
    <w:p w:rsidR="009B3B80" w:rsidRPr="001C39E2" w:rsidRDefault="009B3B80" w:rsidP="001C39E2">
      <w:pPr>
        <w:pStyle w:val="FootnoteText"/>
        <w:ind w:left="567" w:hanging="567"/>
        <w:rPr>
          <w:sz w:val="24"/>
          <w:lang w:val="fi-FI"/>
        </w:rPr>
      </w:pPr>
      <w:r w:rsidRPr="001C39E2">
        <w:rPr>
          <w:rStyle w:val="FootnoteReference"/>
          <w:sz w:val="24"/>
          <w:lang w:val="fi-FI"/>
        </w:rPr>
        <w:footnoteRef/>
      </w:r>
      <w:r w:rsidR="001C39E2" w:rsidRPr="001C39E2">
        <w:rPr>
          <w:sz w:val="24"/>
          <w:lang w:val="fi-FI"/>
        </w:rPr>
        <w:t xml:space="preserve"> </w:t>
      </w:r>
      <w:r w:rsidR="001C39E2" w:rsidRPr="001C39E2">
        <w:rPr>
          <w:sz w:val="24"/>
          <w:lang w:val="fi-FI"/>
        </w:rPr>
        <w:tab/>
      </w:r>
      <w:r w:rsidRPr="001C39E2">
        <w:rPr>
          <w:sz w:val="24"/>
          <w:lang w:val="fi-FI"/>
        </w:rPr>
        <w:t xml:space="preserve">EUVL L 433 I, 22.12.2020, s. 28, ELI: </w:t>
      </w:r>
      <w:r w:rsidR="00DC45ED">
        <w:fldChar w:fldCharType="begin"/>
      </w:r>
      <w:r w:rsidR="00DC45ED" w:rsidRPr="00DC45ED">
        <w:rPr>
          <w:lang w:val="fi-FI"/>
        </w:rPr>
        <w:instrText xml:space="preserve"> HYPERLINK "http://data.europa.eu/eli/agree_interinstit/2020/1222/oj" </w:instrText>
      </w:r>
      <w:r w:rsidR="00DC45ED">
        <w:fldChar w:fldCharType="separate"/>
      </w:r>
      <w:r w:rsidRPr="001C39E2">
        <w:rPr>
          <w:rStyle w:val="Hyperlink"/>
          <w:sz w:val="24"/>
          <w:lang w:val="fi-FI"/>
        </w:rPr>
        <w:t>http://data.europa.eu/eli/agree_interinstit/2020/1222/oj</w:t>
      </w:r>
      <w:r w:rsidR="00DC45ED">
        <w:rPr>
          <w:rStyle w:val="Hyperlink"/>
          <w:sz w:val="24"/>
          <w:lang w:val="fi-FI"/>
        </w:rPr>
        <w:fldChar w:fldCharType="end"/>
      </w:r>
      <w:r w:rsidRPr="001C39E2">
        <w:rPr>
          <w:sz w:val="24"/>
          <w:lang w:val="fi-FI"/>
        </w:rPr>
        <w:t>.</w:t>
      </w:r>
    </w:p>
  </w:footnote>
  <w:footnote w:id="6">
    <w:p w:rsidR="009B3B80" w:rsidRPr="001C39E2" w:rsidRDefault="009B3B80" w:rsidP="001C39E2">
      <w:pPr>
        <w:pStyle w:val="FootnoteText"/>
        <w:ind w:left="567" w:hanging="567"/>
        <w:rPr>
          <w:sz w:val="24"/>
          <w:lang w:val="fi-FI"/>
        </w:rPr>
      </w:pPr>
      <w:r w:rsidRPr="001C39E2">
        <w:rPr>
          <w:rStyle w:val="FootnoteReference"/>
          <w:sz w:val="24"/>
          <w:lang w:val="fi-FI"/>
        </w:rPr>
        <w:footnoteRef/>
      </w:r>
      <w:r w:rsidR="001C39E2" w:rsidRPr="001C39E2">
        <w:rPr>
          <w:sz w:val="24"/>
          <w:lang w:val="fi-FI"/>
        </w:rPr>
        <w:t xml:space="preserve"> </w:t>
      </w:r>
      <w:r w:rsidR="001C39E2" w:rsidRPr="001C39E2">
        <w:rPr>
          <w:sz w:val="24"/>
          <w:lang w:val="fi-FI"/>
        </w:rPr>
        <w:tab/>
      </w:r>
      <w:r w:rsidRPr="001C39E2">
        <w:rPr>
          <w:sz w:val="24"/>
          <w:lang w:val="fi-FI"/>
        </w:rPr>
        <w:t xml:space="preserve">EUVL L 424, 15.12.2020, s. 1, ELI: </w:t>
      </w:r>
      <w:r w:rsidR="00DC45ED">
        <w:fldChar w:fldCharType="begin"/>
      </w:r>
      <w:r w:rsidR="00DC45ED" w:rsidRPr="00DC45ED">
        <w:rPr>
          <w:lang w:val="fi-FI"/>
        </w:rPr>
        <w:instrText xml:space="preserve"> HYPERLINK "htt</w:instrText>
      </w:r>
      <w:r w:rsidR="00DC45ED" w:rsidRPr="00DC45ED">
        <w:rPr>
          <w:lang w:val="fi-FI"/>
        </w:rPr>
        <w:instrText xml:space="preserve">p://data.europa.eu/eli/dec/2020/2053/oj" </w:instrText>
      </w:r>
      <w:r w:rsidR="00DC45ED">
        <w:fldChar w:fldCharType="separate"/>
      </w:r>
      <w:r w:rsidRPr="001C39E2">
        <w:rPr>
          <w:rStyle w:val="Hyperlink"/>
          <w:sz w:val="24"/>
          <w:lang w:val="fi-FI"/>
        </w:rPr>
        <w:t>http://data.europa.eu/eli/dec/2020/2053/oj</w:t>
      </w:r>
      <w:r w:rsidR="00DC45ED">
        <w:rPr>
          <w:rStyle w:val="Hyperlink"/>
          <w:sz w:val="24"/>
          <w:lang w:val="fi-FI"/>
        </w:rPr>
        <w:fldChar w:fldCharType="end"/>
      </w:r>
      <w:r w:rsidRPr="001C39E2">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7/2024"/>
    <w:docVar w:name="dvlangue" w:val="FI"/>
    <w:docVar w:name="dvnumam" w:val="0"/>
    <w:docVar w:name="dvpe" w:val="763.032"/>
    <w:docVar w:name="dvrapporteur" w:val="Esittelijä: "/>
    <w:docVar w:name="dvtitre" w:val="Euroopan parlamentin päätöslauselma 22. lokakuuta 2024 neuvoston kannasta esitykseen Euroopan unionin lisätalousarvioksi nro 4/2024 varainhoitovuodeksi 2024 – Tulojen tarkistaminen (omat varat) ja joitakin erillisvirastoja koskevat mukautukset(13195/2024 – C10-0109/2024 – 2024/0185(BUD))"/>
  </w:docVars>
  <w:rsids>
    <w:rsidRoot w:val="000E4D81"/>
    <w:rsid w:val="00002272"/>
    <w:rsid w:val="00064002"/>
    <w:rsid w:val="000677B9"/>
    <w:rsid w:val="000831BA"/>
    <w:rsid w:val="000A42CC"/>
    <w:rsid w:val="000E4D81"/>
    <w:rsid w:val="000E7DD9"/>
    <w:rsid w:val="0010095E"/>
    <w:rsid w:val="00125B37"/>
    <w:rsid w:val="00187494"/>
    <w:rsid w:val="001C39E2"/>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3B80"/>
    <w:rsid w:val="00A1687D"/>
    <w:rsid w:val="00A43E52"/>
    <w:rsid w:val="00A4678D"/>
    <w:rsid w:val="00A778C7"/>
    <w:rsid w:val="00AB441E"/>
    <w:rsid w:val="00AB6293"/>
    <w:rsid w:val="00AE0928"/>
    <w:rsid w:val="00AF3B82"/>
    <w:rsid w:val="00B12E95"/>
    <w:rsid w:val="00B150A1"/>
    <w:rsid w:val="00B22876"/>
    <w:rsid w:val="00B558F0"/>
    <w:rsid w:val="00BD48FE"/>
    <w:rsid w:val="00BD7BD8"/>
    <w:rsid w:val="00BE6ADC"/>
    <w:rsid w:val="00C05BFE"/>
    <w:rsid w:val="00C23CD4"/>
    <w:rsid w:val="00C61C0C"/>
    <w:rsid w:val="00C941CB"/>
    <w:rsid w:val="00CC2357"/>
    <w:rsid w:val="00CF071A"/>
    <w:rsid w:val="00D058B8"/>
    <w:rsid w:val="00D41759"/>
    <w:rsid w:val="00D56C11"/>
    <w:rsid w:val="00D834A0"/>
    <w:rsid w:val="00D872DF"/>
    <w:rsid w:val="00D91E21"/>
    <w:rsid w:val="00DA7FCD"/>
    <w:rsid w:val="00DC45E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0AE9F20-D5D5-4CC1-993E-82BA6F576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B3B80"/>
    <w:pPr>
      <w:spacing w:before="480" w:after="240"/>
    </w:pPr>
  </w:style>
  <w:style w:type="paragraph" w:customStyle="1" w:styleId="NormalHanging12a">
    <w:name w:val="NormalHanging12a"/>
    <w:basedOn w:val="Normal"/>
    <w:rsid w:val="009B3B80"/>
    <w:pPr>
      <w:spacing w:after="240"/>
      <w:ind w:left="567" w:hanging="567"/>
    </w:pPr>
  </w:style>
  <w:style w:type="character" w:styleId="Hyperlink">
    <w:name w:val="Hyperlink"/>
    <w:basedOn w:val="DefaultParagraphFont"/>
    <w:uiPriority w:val="99"/>
    <w:rsid w:val="009B3B80"/>
    <w:rPr>
      <w:color w:val="0563C1" w:themeColor="hyperlink"/>
      <w:u w:val="single"/>
    </w:rPr>
  </w:style>
  <w:style w:type="paragraph" w:styleId="Footer">
    <w:name w:val="footer"/>
    <w:basedOn w:val="Normal"/>
    <w:link w:val="FooterChar"/>
    <w:rsid w:val="00D41759"/>
    <w:pPr>
      <w:tabs>
        <w:tab w:val="center" w:pos="4513"/>
        <w:tab w:val="right" w:pos="9026"/>
      </w:tabs>
    </w:pPr>
  </w:style>
  <w:style w:type="character" w:customStyle="1" w:styleId="FooterChar">
    <w:name w:val="Footer Char"/>
    <w:basedOn w:val="DefaultParagraphFont"/>
    <w:link w:val="Footer"/>
    <w:rsid w:val="00D41759"/>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2509/oj" TargetMode="External"/><Relationship Id="rId1" Type="http://schemas.openxmlformats.org/officeDocument/2006/relationships/hyperlink" Target="http://data.europa.eu/eli/reg/2018/10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BDD8C8-C179-4E34-B7C0-AE9F743DA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909</Words>
  <Characters>7696</Characters>
  <Application>Microsoft Office Word</Application>
  <DocSecurity>0</DocSecurity>
  <Lines>64</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2024-11-20T09:18:00Z</dcterms:created>
  <dcterms:modified xsi:type="dcterms:W3CDTF">2024-11-20T09:18:00Z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P10_TA(2024)0024_</vt:lpwstr>
  </property>
  <property fmtid="{D5CDD505-2E9C-101B-9397-08002B2CF9AE}" pid="4" name="&lt;Type&gt;">
    <vt:lpwstr>RR</vt:lpwstr>
  </property>
</Properties>
</file>