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1CB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D1CB2" w:rsidRDefault="00124156" w:rsidP="0010095E">
            <w:pPr>
              <w:pStyle w:val="EPName"/>
            </w:pPr>
            <w:r w:rsidRPr="00BD1CB2">
              <w:t>Europski parlament</w:t>
            </w:r>
          </w:p>
          <w:p w:rsidR="00751A4A" w:rsidRPr="00BD1C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1CB2">
              <w:t>2024</w:t>
            </w:r>
            <w:r w:rsidR="00817416" w:rsidRPr="00BD1CB2">
              <w:t>-202</w:t>
            </w:r>
            <w:r w:rsidRPr="00BD1CB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D1CB2" w:rsidRDefault="00187494" w:rsidP="0010095E">
            <w:pPr>
              <w:pStyle w:val="EPLogo"/>
            </w:pPr>
            <w:r w:rsidRPr="00BD1CB2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D1CB2" w:rsidRDefault="00D058B8" w:rsidP="004C5D52">
      <w:pPr>
        <w:pStyle w:val="LineTop"/>
      </w:pPr>
    </w:p>
    <w:p w:rsidR="00680577" w:rsidRPr="00BD1CB2" w:rsidRDefault="00124156" w:rsidP="00680577">
      <w:pPr>
        <w:pStyle w:val="EPBodyTA1"/>
      </w:pPr>
      <w:r w:rsidRPr="00BD1CB2">
        <w:t>USVOJENI TEKSTOVI</w:t>
      </w:r>
    </w:p>
    <w:p w:rsidR="00D058B8" w:rsidRPr="00BD1CB2" w:rsidRDefault="00D058B8" w:rsidP="00D058B8">
      <w:pPr>
        <w:pStyle w:val="LineBottom"/>
      </w:pPr>
    </w:p>
    <w:p w:rsidR="00124156" w:rsidRPr="00BD1CB2" w:rsidRDefault="00124156" w:rsidP="00124156">
      <w:pPr>
        <w:pStyle w:val="ATHeading1"/>
      </w:pPr>
      <w:bookmarkStart w:id="0" w:name="TANumber"/>
      <w:r w:rsidRPr="00BD1CB2">
        <w:t>P10_TA(2024)00</w:t>
      </w:r>
      <w:r w:rsidR="00BD1CB2" w:rsidRPr="00BD1CB2">
        <w:t>24</w:t>
      </w:r>
      <w:bookmarkEnd w:id="0"/>
    </w:p>
    <w:p w:rsidR="00124156" w:rsidRPr="00BD1CB2" w:rsidRDefault="00124156" w:rsidP="00124156">
      <w:pPr>
        <w:pStyle w:val="ATHeading2"/>
      </w:pPr>
      <w:bookmarkStart w:id="1" w:name="title"/>
      <w:r w:rsidRPr="00BD1CB2">
        <w:t>Nacrt izmjene proračuna br. 4/2024: ažuriranje prihoda (vlastita sredstva) i prilagodbe za neke od decentraliziranih agencija</w:t>
      </w:r>
      <w:bookmarkEnd w:id="1"/>
    </w:p>
    <w:p w:rsidR="00124156" w:rsidRPr="00BD1CB2" w:rsidRDefault="00124156" w:rsidP="00124156">
      <w:pPr>
        <w:rPr>
          <w:i/>
          <w:vanish/>
        </w:rPr>
      </w:pPr>
      <w:r w:rsidRPr="00BD1CB2">
        <w:rPr>
          <w:i/>
        </w:rPr>
        <w:fldChar w:fldCharType="begin"/>
      </w:r>
      <w:r w:rsidRPr="00BD1CB2">
        <w:rPr>
          <w:i/>
        </w:rPr>
        <w:instrText xml:space="preserve"> TC"(</w:instrText>
      </w:r>
      <w:bookmarkStart w:id="2" w:name="DocNumber"/>
      <w:r w:rsidRPr="00BD1CB2">
        <w:rPr>
          <w:i/>
        </w:rPr>
        <w:instrText>A10-0007/2024</w:instrText>
      </w:r>
      <w:bookmarkEnd w:id="2"/>
      <w:r w:rsidRPr="00BD1CB2">
        <w:rPr>
          <w:i/>
        </w:rPr>
        <w:instrText xml:space="preserve"> - Izvjestitelj: </w:instrText>
      </w:r>
      <w:proofErr w:type="spellStart"/>
      <w:r w:rsidRPr="00BD1CB2">
        <w:rPr>
          <w:i/>
        </w:rPr>
        <w:instrText>Siegfried</w:instrText>
      </w:r>
      <w:proofErr w:type="spellEnd"/>
      <w:r w:rsidRPr="00BD1CB2">
        <w:rPr>
          <w:i/>
        </w:rPr>
        <w:instrText xml:space="preserve"> </w:instrText>
      </w:r>
      <w:proofErr w:type="spellStart"/>
      <w:r w:rsidRPr="00BD1CB2">
        <w:rPr>
          <w:i/>
        </w:rPr>
        <w:instrText>Mureşan</w:instrText>
      </w:r>
      <w:proofErr w:type="spellEnd"/>
      <w:r w:rsidRPr="00BD1CB2">
        <w:rPr>
          <w:i/>
        </w:rPr>
        <w:instrText xml:space="preserve">)"\l3 \n&gt; \* MERGEFORMAT </w:instrText>
      </w:r>
      <w:r w:rsidRPr="00BD1CB2">
        <w:rPr>
          <w:i/>
        </w:rPr>
        <w:fldChar w:fldCharType="end"/>
      </w:r>
    </w:p>
    <w:p w:rsidR="00124156" w:rsidRPr="00BD1CB2" w:rsidRDefault="00124156" w:rsidP="00124156">
      <w:pPr>
        <w:rPr>
          <w:vanish/>
        </w:rPr>
      </w:pPr>
      <w:bookmarkStart w:id="3" w:name="Commission"/>
      <w:r w:rsidRPr="00BD1CB2">
        <w:rPr>
          <w:vanish/>
        </w:rPr>
        <w:t>Odbor za proračune</w:t>
      </w:r>
      <w:bookmarkEnd w:id="3"/>
    </w:p>
    <w:p w:rsidR="00124156" w:rsidRPr="00BD1CB2" w:rsidRDefault="00124156" w:rsidP="00124156">
      <w:pPr>
        <w:rPr>
          <w:vanish/>
        </w:rPr>
      </w:pPr>
      <w:bookmarkStart w:id="4" w:name="PE"/>
      <w:r w:rsidRPr="00BD1CB2">
        <w:rPr>
          <w:vanish/>
        </w:rPr>
        <w:t>PE763.032</w:t>
      </w:r>
      <w:bookmarkEnd w:id="4"/>
    </w:p>
    <w:p w:rsidR="00124156" w:rsidRPr="00BD1CB2" w:rsidRDefault="00124156" w:rsidP="00124156">
      <w:pPr>
        <w:pStyle w:val="ATHeading3"/>
      </w:pPr>
      <w:bookmarkStart w:id="5" w:name="Sujet"/>
      <w:r w:rsidRPr="00BD1CB2">
        <w:t>Rezolu</w:t>
      </w:r>
      <w:r w:rsidR="00D113EC" w:rsidRPr="00BD1CB2">
        <w:t>cija Europskog parlamenta od 22</w:t>
      </w:r>
      <w:r w:rsidRPr="00BD1CB2">
        <w:t xml:space="preserve">. </w:t>
      </w:r>
      <w:r w:rsidR="00D113EC" w:rsidRPr="00BD1CB2">
        <w:t xml:space="preserve">listopada </w:t>
      </w:r>
      <w:r w:rsidRPr="00BD1CB2">
        <w:t>2024. o stajalištu Vijeća o nacrtu izmjene proračuna br. 4/2024 Europske unije za financijsku godinu 2024. – ažuriranje prihoda (vlastita sredstva) i prilagodbe za neke od decentraliziranih agencija</w:t>
      </w:r>
      <w:bookmarkEnd w:id="5"/>
      <w:r w:rsidRPr="00BD1CB2">
        <w:t xml:space="preserve"> </w:t>
      </w:r>
      <w:bookmarkStart w:id="6" w:name="References"/>
      <w:r w:rsidRPr="00BD1CB2">
        <w:t>(13195/2024 – C10-0109/2024 – 2024/0185(BUD))</w:t>
      </w:r>
      <w:bookmarkEnd w:id="6"/>
    </w:p>
    <w:p w:rsidR="00B5323D" w:rsidRPr="00BD1CB2" w:rsidRDefault="00B5323D" w:rsidP="00B5323D">
      <w:pPr>
        <w:pStyle w:val="EPComma"/>
      </w:pPr>
      <w:bookmarkStart w:id="7" w:name="TextBodyBegin"/>
      <w:bookmarkEnd w:id="7"/>
      <w:r w:rsidRPr="00BD1CB2">
        <w:rPr>
          <w:i/>
        </w:rPr>
        <w:t>Europski parlament</w:t>
      </w:r>
      <w:r w:rsidRPr="00BD1CB2">
        <w:t>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članak 314. Ugovora o funkcioniranju Europske unije,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članak 106.a Ugovora o osnivanju Europske zajednice za atomsku energiju,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 1304/2013, (EU) br. 1309/2013, (EU) br. 1316/2013, (EU) br. 223/2014, (EU) br. 283/2014 i Odluke br. 541/2014/EU te o stavljanju izvan snage Uredbe (EU, Euratom) br. 966/2012</w:t>
      </w:r>
      <w:r w:rsidRPr="00BD1CB2">
        <w:rPr>
          <w:rStyle w:val="FootnoteReference"/>
        </w:rPr>
        <w:footnoteReference w:id="1"/>
      </w:r>
      <w:r w:rsidRPr="00BD1CB2">
        <w:t>, a posebno njezin članak 44.,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Uredbu (EU, Euratom) 2024/2509 Europskog parlamenta i Vijeća od 23. rujna 2024. o financijskim pravilima koja se primjenjuju na opći proračun Unije</w:t>
      </w:r>
      <w:r w:rsidRPr="00BD1CB2">
        <w:rPr>
          <w:rStyle w:val="FootnoteReference"/>
        </w:rPr>
        <w:footnoteReference w:id="2"/>
      </w:r>
      <w:r w:rsidRPr="00BD1CB2">
        <w:t>, a posebno njezin članak 44.,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opći proračun Europske unije za financijsku godinu 2024., konačno donesen 22. studenoga 2023.</w:t>
      </w:r>
      <w:r w:rsidRPr="00BD1CB2">
        <w:rPr>
          <w:rStyle w:val="FootnoteReference"/>
        </w:rPr>
        <w:footnoteReference w:id="3"/>
      </w:r>
      <w:r w:rsidRPr="00BD1CB2">
        <w:t>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Uredbu Vijeća (EU, Euratom) 2020/2093 od 17. prosinca 2020. kojom se utvrđuje višegodišnji financijski okvir za razdoblje 2021. – 2027.</w:t>
      </w:r>
      <w:r w:rsidRPr="00BD1CB2">
        <w:rPr>
          <w:rStyle w:val="FootnoteReference"/>
        </w:rPr>
        <w:footnoteReference w:id="4"/>
      </w:r>
      <w:r w:rsidRPr="00BD1CB2">
        <w:t>,</w:t>
      </w:r>
    </w:p>
    <w:p w:rsidR="00B5323D" w:rsidRPr="00BD1CB2" w:rsidRDefault="00B5323D" w:rsidP="00B5323D">
      <w:pPr>
        <w:pStyle w:val="NormalHanging12a"/>
      </w:pPr>
      <w:r w:rsidRPr="00BD1CB2">
        <w:lastRenderedPageBreak/>
        <w:t>–</w:t>
      </w:r>
      <w:r w:rsidRPr="00BD1CB2">
        <w:tab/>
        <w:t xml:space="preserve">uzimajući u obzir </w:t>
      </w:r>
      <w:proofErr w:type="spellStart"/>
      <w:r w:rsidRPr="00BD1CB2">
        <w:t>Međuinstitucijski</w:t>
      </w:r>
      <w:proofErr w:type="spellEnd"/>
      <w:r w:rsidRPr="00BD1CB2">
        <w:t xml:space="preserve"> sporazum od 16. prosinca 2020. između Europskog parlamenta, Vijeća Europske unije i Europske komisije o proračunskoj disciplini, suradnji u proračunskim pitanjima i dobrom financijskom upravljanju te novim vlastitim sredstvima, uključujući plan za uvođenje novih vlastitih sredstava</w:t>
      </w:r>
      <w:r w:rsidRPr="00BD1CB2">
        <w:rPr>
          <w:rStyle w:val="FootnoteReference"/>
        </w:rPr>
        <w:footnoteReference w:id="5"/>
      </w:r>
      <w:r w:rsidRPr="00BD1CB2">
        <w:t>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Odluku Vijeća (EU, Euratom) 2020/2053 od 14. prosinca 2020. o sustavu vlastitih sredstava Europske unije te o stavljanju izvan snage Odluke 2014/335/EU, Euratom</w:t>
      </w:r>
      <w:r w:rsidRPr="00BD1CB2">
        <w:rPr>
          <w:rStyle w:val="FootnoteReference"/>
        </w:rPr>
        <w:footnoteReference w:id="6"/>
      </w:r>
      <w:r w:rsidRPr="00BD1CB2">
        <w:t>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nacrt izmjene proračuna br. 4/2024 koji je Komisija usvojila 19. srpnja 2024. ((COM(2024)0931),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stajalište o nacrtu izmjene proračuna br. 4/2024 koje je Vijeće usvojilo 23. rujna 2024. i proslijedilo Parlamentu 24. rujna 2024. (13195/2024 – C10</w:t>
      </w:r>
      <w:r w:rsidRPr="00BD1CB2">
        <w:noBreakHyphen/>
        <w:t>0109/2024),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članke 96. i 98. Poslovnika,</w:t>
      </w:r>
    </w:p>
    <w:p w:rsidR="00B5323D" w:rsidRPr="00BD1CB2" w:rsidRDefault="00B5323D" w:rsidP="00B5323D">
      <w:pPr>
        <w:pStyle w:val="NormalHanging12a"/>
      </w:pPr>
      <w:r w:rsidRPr="00BD1CB2">
        <w:t>–</w:t>
      </w:r>
      <w:r w:rsidRPr="00BD1CB2">
        <w:tab/>
        <w:t>uzimajući u obzir izvješće Odbora za proračune (A10</w:t>
      </w:r>
      <w:r w:rsidRPr="00BD1CB2">
        <w:noBreakHyphen/>
        <w:t>0007/2024),</w:t>
      </w:r>
    </w:p>
    <w:p w:rsidR="00B5323D" w:rsidRPr="00BD1CB2" w:rsidRDefault="00B5323D" w:rsidP="00B5323D">
      <w:pPr>
        <w:pStyle w:val="NormalHanging12a"/>
      </w:pPr>
      <w:r w:rsidRPr="00BD1CB2">
        <w:t>A.</w:t>
      </w:r>
      <w:r w:rsidRPr="00BD1CB2">
        <w:tab/>
        <w:t>budući da je primarna svrha nacrta izmjene proračuna br. 4/2024 ažuriranje prihodovne strane proračuna kako bi se uzela u obzir najnovija kretanja te, osim toga, prilagodba rashodovne strane proračuna u odnosu na niz decentraliziranih agencija;</w:t>
      </w:r>
    </w:p>
    <w:p w:rsidR="00B5323D" w:rsidRPr="00BD1CB2" w:rsidRDefault="00B5323D" w:rsidP="00B5323D">
      <w:pPr>
        <w:pStyle w:val="NormalHanging12a"/>
      </w:pPr>
      <w:r w:rsidRPr="00BD1CB2">
        <w:t>B.</w:t>
      </w:r>
      <w:r w:rsidRPr="00BD1CB2">
        <w:tab/>
        <w:t>budući da na</w:t>
      </w:r>
      <w:r w:rsidR="00B84FB9">
        <w:t>crt izmjene proračuna br. 4/2024</w:t>
      </w:r>
      <w:bookmarkStart w:id="8" w:name="_GoBack"/>
      <w:bookmarkEnd w:id="8"/>
      <w:r w:rsidRPr="00BD1CB2">
        <w:t xml:space="preserve"> podrazumijeva reviziju predviđanja vlastitih sredstava u vezi s carinama</w:t>
      </w:r>
      <w:r w:rsidR="002E46A9" w:rsidRPr="00BD1CB2">
        <w:t>, koje su</w:t>
      </w:r>
      <w:r w:rsidRPr="00BD1CB2">
        <w:t>18,3 % manje nego što je predviđeno u svibnju 2023., neograničenom osnovicom PDV-a</w:t>
      </w:r>
      <w:r w:rsidR="002E46A9" w:rsidRPr="00BD1CB2">
        <w:t>, koja je</w:t>
      </w:r>
      <w:r w:rsidRPr="00BD1CB2">
        <w:t xml:space="preserve"> 0,6 % manj</w:t>
      </w:r>
      <w:r w:rsidR="002E46A9" w:rsidRPr="00BD1CB2">
        <w:t>a</w:t>
      </w:r>
      <w:r w:rsidRPr="00BD1CB2">
        <w:t xml:space="preserve"> nego što je predviđeno u svibnju 2023., nerecikliranim plastičnim ambalažnim otpadom</w:t>
      </w:r>
      <w:r w:rsidR="002E46A9" w:rsidRPr="00BD1CB2">
        <w:t>, koje je</w:t>
      </w:r>
      <w:r w:rsidRPr="00BD1CB2">
        <w:t>0,6 % više nego što je predviđeno u svibnju 2023., i ukupnom osnovicom BND-a za EU</w:t>
      </w:r>
      <w:r w:rsidR="002E46A9" w:rsidRPr="00BD1CB2">
        <w:t>, koja je</w:t>
      </w:r>
      <w:r w:rsidRPr="00BD1CB2">
        <w:t xml:space="preserve"> 0,3 % viš</w:t>
      </w:r>
      <w:r w:rsidR="002E46A9" w:rsidRPr="00BD1CB2">
        <w:t>a</w:t>
      </w:r>
      <w:r w:rsidRPr="00BD1CB2">
        <w:t xml:space="preserve"> nego što je predviđeno u svibnju 2023.;</w:t>
      </w:r>
    </w:p>
    <w:p w:rsidR="00B5323D" w:rsidRPr="00BD1CB2" w:rsidRDefault="00B5323D" w:rsidP="00B5323D">
      <w:pPr>
        <w:pStyle w:val="NormalHanging12a"/>
      </w:pPr>
      <w:r w:rsidRPr="00BD1CB2">
        <w:t>C.</w:t>
      </w:r>
      <w:r w:rsidRPr="00BD1CB2">
        <w:tab/>
        <w:t>budući da se nacrtom izmjene proračuna br. 4/2024 također ažurira doprinos Ujedinjene Kraljevine za 2024. u skladu sa Sporazumom o povlačenju, u iznosu od 2,38 milijardi EUR, što je znatno smanjenje od 1,52 milijarde EUR u odnosu na procjenu iz proračuna za 2024.; budući da se u nacrtu izmjene proračuna br. 4/2024 uzimaju u obzir i novčane kazne i sankcije naplaćene do kraja svibnja 2024., čime se početno predviđanje iznosa novčanih kazni i sankcija u proračunu za 2024. povećava za 513 milijuna EUR;</w:t>
      </w:r>
    </w:p>
    <w:p w:rsidR="00B5323D" w:rsidRPr="00BD1CB2" w:rsidRDefault="00B5323D" w:rsidP="00B5323D">
      <w:pPr>
        <w:pStyle w:val="NormalHanging12a"/>
      </w:pPr>
      <w:r w:rsidRPr="00BD1CB2">
        <w:t>D.</w:t>
      </w:r>
      <w:r w:rsidRPr="00BD1CB2">
        <w:tab/>
        <w:t xml:space="preserve">budući da se u nacrtu izmjene proračuna br. 4/2024 predlaže niz prilagodbi u financiranju decentraliziranih agencija, uz ukupno neto povećanje od 12 milijuna EUR, te se iznosi prijedlog za mobilizaciju instrumenta fleksibilnosti u iznosu od 13,2 milijuna EUR kako bi se pokrila povećanja za Europsku agenciju za lijekove i </w:t>
      </w:r>
      <w:proofErr w:type="spellStart"/>
      <w:r w:rsidRPr="00BD1CB2">
        <w:t>Eurojust</w:t>
      </w:r>
      <w:proofErr w:type="spellEnd"/>
      <w:r w:rsidRPr="00BD1CB2">
        <w:t>, u nedostatku raspoloživih sredstava u okviru naslova 2.b višegodišnjeg financijskog okvira (VFO);</w:t>
      </w:r>
    </w:p>
    <w:p w:rsidR="00B5323D" w:rsidRPr="00BD1CB2" w:rsidRDefault="00B5323D" w:rsidP="00B5323D">
      <w:pPr>
        <w:pStyle w:val="NormalHanging12a"/>
      </w:pPr>
      <w:r w:rsidRPr="00BD1CB2">
        <w:t>1.</w:t>
      </w:r>
      <w:r w:rsidRPr="00BD1CB2">
        <w:tab/>
        <w:t>pozdravlja nacrt izmjene proračuna br. 4/2024 koji je podnijela Komisija;</w:t>
      </w:r>
    </w:p>
    <w:p w:rsidR="00B5323D" w:rsidRPr="00BD1CB2" w:rsidRDefault="00B5323D" w:rsidP="00B5323D">
      <w:pPr>
        <w:pStyle w:val="NormalHanging12a"/>
        <w:rPr>
          <w:bCs/>
          <w:iCs/>
          <w:szCs w:val="24"/>
        </w:rPr>
      </w:pPr>
      <w:r w:rsidRPr="00BD1CB2">
        <w:t>2.</w:t>
      </w:r>
      <w:r w:rsidRPr="00BD1CB2">
        <w:tab/>
        <w:t xml:space="preserve">prima na znanje da smanjenje iznosa vlastitih sredstava osim BND-a (posebno u </w:t>
      </w:r>
      <w:r w:rsidRPr="00BD1CB2">
        <w:lastRenderedPageBreak/>
        <w:t xml:space="preserve">pogledu carina) i iznosa doprinosa Ujedinjene Kraljevine proračunu dovodi do povećanja doprinosa na temelju BND-a za 5,63 milijarde EUR; napominje da postoji znatno odstupanje od početnih predviđenih iznosa carina i doprinosa Ujedinjene Kraljevine te poziva Komisiju da ispita mogućnosti za poboljšanje predviđanja, </w:t>
      </w:r>
      <w:r w:rsidR="002E46A9" w:rsidRPr="00BD1CB2">
        <w:t xml:space="preserve">što je </w:t>
      </w:r>
      <w:r w:rsidRPr="00BD1CB2">
        <w:t xml:space="preserve">ključno za predvidljivost proračunskog planiranja; </w:t>
      </w:r>
    </w:p>
    <w:p w:rsidR="00B5323D" w:rsidRPr="00BD1CB2" w:rsidRDefault="00B5323D" w:rsidP="00B5323D">
      <w:pPr>
        <w:pStyle w:val="NormalHanging12a"/>
      </w:pPr>
      <w:r w:rsidRPr="00BD1CB2">
        <w:t>3.</w:t>
      </w:r>
      <w:r w:rsidRPr="00BD1CB2">
        <w:tab/>
        <w:t>ističe da prema nacrtu izmjene proračuna br. 4/2024 paušalno smanjenje BND-a za pet država članica korisnica iznosi tek nešto manje od 5,4 milijarde EUR neto; naglašava da su te olakšice povezane s inflacijom te da su se stoga povećale po višoj stopi od gornjih granica VFO-a, koje se svake godine prilagođavaju na temelju deflatora od 2 %; ističe da se zbog te nepravilnosti povećava opterećenje drugih država članica;</w:t>
      </w:r>
    </w:p>
    <w:p w:rsidR="00B5323D" w:rsidRPr="00BD1CB2" w:rsidRDefault="00B5323D" w:rsidP="00B5323D">
      <w:pPr>
        <w:pStyle w:val="NormalHanging12a"/>
      </w:pPr>
      <w:r w:rsidRPr="00BD1CB2">
        <w:t>4.</w:t>
      </w:r>
      <w:r w:rsidRPr="00BD1CB2">
        <w:tab/>
        <w:t>naglašava potrebu za održivim prihodima za proračun Unije, koji je posljednjih godina izrazito opterećen kako bi se odgovorilo na razne krize; stoga žali zbog izostanka napretka u Vijeću u pogledu reforme sustava vlastitih sredstava</w:t>
      </w:r>
      <w:r w:rsidRPr="00BD1CB2">
        <w:rPr>
          <w:color w:val="1E1E1F"/>
          <w:shd w:val="clear" w:color="auto" w:fill="FFFFFF"/>
        </w:rPr>
        <w:t xml:space="preserve"> u skladu s planom iz </w:t>
      </w:r>
      <w:proofErr w:type="spellStart"/>
      <w:r w:rsidRPr="00BD1CB2">
        <w:rPr>
          <w:color w:val="1E1E1F"/>
          <w:shd w:val="clear" w:color="auto" w:fill="FFFFFF"/>
        </w:rPr>
        <w:t>Međuinstitucijskog</w:t>
      </w:r>
      <w:proofErr w:type="spellEnd"/>
      <w:r w:rsidRPr="00BD1CB2">
        <w:rPr>
          <w:color w:val="1E1E1F"/>
          <w:shd w:val="clear" w:color="auto" w:fill="FFFFFF"/>
        </w:rPr>
        <w:t xml:space="preserve"> sporazuma; </w:t>
      </w:r>
      <w:r w:rsidRPr="00BD1CB2">
        <w:t>podsjeća na svoje stajalište kojim podupire izmijenjene prijedloge Komisije te potiče Vijeće i države članice da brzo usvoje spomenute prijedloge kako bi se povećali iznosi vlastitih sredstava dostupni proračunu Unije; ponavlja svoje dugogodišnje stajalište da bi se novčane kazne i naknade trebale koristiti kao dodatni prihod za proračun Unije;</w:t>
      </w:r>
    </w:p>
    <w:p w:rsidR="00B5323D" w:rsidRPr="00BD1CB2" w:rsidRDefault="00B5323D" w:rsidP="00B5323D">
      <w:pPr>
        <w:pStyle w:val="NormalHanging12a"/>
      </w:pPr>
      <w:r w:rsidRPr="00BD1CB2">
        <w:t>5.</w:t>
      </w:r>
      <w:r w:rsidRPr="00BD1CB2">
        <w:tab/>
        <w:t>ponavlja svoje dugogodišnje stajalište da novi prioriteti zahtijevaju nova financijska sredstva; prima na znanje niz prilagodbi proračuna decentraliziranih agencija, ponajprije u skladu sa zadaćama koje su im dodijeljene nedavno donesenim zakonodavstvom; podsjeća da agencije moraju raspolagati potrebnim osobljem i proračunom kako bi na odgovarajući način izvršavale svoje mandate; ne odobrava činjenicu da u više slučajeva dodatna sredstva za decentralizirane agencije podrazumijevaju odgovarajuće smanjenje u omotnici programa;</w:t>
      </w:r>
    </w:p>
    <w:p w:rsidR="00B5323D" w:rsidRPr="00BD1CB2" w:rsidRDefault="00B5323D" w:rsidP="00B5323D">
      <w:pPr>
        <w:pStyle w:val="NormalHanging12a"/>
      </w:pPr>
      <w:r w:rsidRPr="00BD1CB2">
        <w:t>6.</w:t>
      </w:r>
      <w:r w:rsidRPr="00BD1CB2">
        <w:tab/>
        <w:t>izražava žaljenje zbog toga što je u trenutačnom VFO-u dosad ukupno 1,5 milijardi EUR preraspodijeljeno iz programa u proračune decentraliziranih agencija, ili se takva preraspodjela predlaže; naglašava da je razmjer tih preraspodjela simptom ograničenosti sredstava dostupnih proračunu Unije i naglašava potrebu za proračunskom fleksibilnošću kako bi se sredstva agencija prilagodila promjenama u njihovim mandatima i zadaćama tijekom VFO-a;</w:t>
      </w:r>
    </w:p>
    <w:p w:rsidR="00B5323D" w:rsidRPr="00BD1CB2" w:rsidRDefault="00B5323D" w:rsidP="00B5323D">
      <w:pPr>
        <w:pStyle w:val="NormalHanging12a"/>
      </w:pPr>
      <w:r w:rsidRPr="00BD1CB2">
        <w:t>7.</w:t>
      </w:r>
      <w:r w:rsidRPr="00BD1CB2">
        <w:tab/>
        <w:t xml:space="preserve">napominje da nacrt izmjene proračuna br. 4/2024 podrazumijeva povećanje od 2 milijuna EUR za </w:t>
      </w:r>
      <w:proofErr w:type="spellStart"/>
      <w:r w:rsidRPr="00BD1CB2">
        <w:t>Eurojust</w:t>
      </w:r>
      <w:proofErr w:type="spellEnd"/>
      <w:r w:rsidRPr="00BD1CB2">
        <w:t xml:space="preserve"> zbog inflacijskih pritisaka; ističe da inflacijski pritisak očigledno predstavlja izazov za sve decentralizirane agencije, s obzirom na to da je stopa inflacije iznad godišnjeg deflatora od 2 % za koliko se povećavaju gornje granice VFO-a te da su zbog toga troškovi osoblja i operativni troškovi za decentralizirane agencije pod znatnim pritiskom; smatra da činjenica da se proračuni decentraliziranih agencija trenutačno smatraju odvojenima od administrativnih rashoda u okviru naslova 7. VFO-a zahtijeva daljnje razmatranje u okviru priprema Komisije za VFO za razdoblje nakon 2027.;</w:t>
      </w:r>
    </w:p>
    <w:p w:rsidR="00B5323D" w:rsidRPr="00BD1CB2" w:rsidRDefault="00B5323D" w:rsidP="00B5323D">
      <w:pPr>
        <w:pStyle w:val="NormalHanging12a"/>
      </w:pPr>
      <w:r w:rsidRPr="00BD1CB2">
        <w:t>8.</w:t>
      </w:r>
      <w:r w:rsidRPr="00BD1CB2">
        <w:tab/>
        <w:t>prihvaća stajalište Vijeća o nacrtu izmjene proračuna br. 4/2024;</w:t>
      </w:r>
    </w:p>
    <w:p w:rsidR="00B5323D" w:rsidRPr="00BD1CB2" w:rsidRDefault="00B5323D" w:rsidP="00B5323D">
      <w:pPr>
        <w:pStyle w:val="NormalHanging12a"/>
      </w:pPr>
      <w:r w:rsidRPr="00BD1CB2">
        <w:t>9.</w:t>
      </w:r>
      <w:r w:rsidRPr="00BD1CB2">
        <w:tab/>
        <w:t xml:space="preserve">nalaže svojoj predsjednici da proglasi izmjenu proračuna br. 4/2024 konačno donesenom i da je da na objavu u </w:t>
      </w:r>
      <w:r w:rsidRPr="00BD1CB2">
        <w:rPr>
          <w:i/>
        </w:rPr>
        <w:t>Službenom listu Europske unije</w:t>
      </w:r>
      <w:r w:rsidRPr="00BD1CB2">
        <w:t>;</w:t>
      </w:r>
    </w:p>
    <w:p w:rsidR="00B5323D" w:rsidRPr="00BD1CB2" w:rsidRDefault="00B5323D" w:rsidP="00D113EC">
      <w:pPr>
        <w:ind w:left="567" w:hanging="567"/>
      </w:pPr>
      <w:r w:rsidRPr="00BD1CB2">
        <w:lastRenderedPageBreak/>
        <w:t>10.</w:t>
      </w:r>
      <w:r w:rsidRPr="00BD1CB2">
        <w:tab/>
        <w:t>nalaže svojoj predsjednici da ovu Rezoluciju proslijedi Vijeću i Komisiji, drugim relevantnim institucijama i tijelima te nacionalnim parlamentima.</w:t>
      </w:r>
    </w:p>
    <w:sectPr w:rsidR="00B5323D" w:rsidRPr="00BD1CB2" w:rsidSect="003A79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4156" w:rsidRPr="003A79CE" w:rsidRDefault="00124156">
      <w:r w:rsidRPr="003A79CE">
        <w:separator/>
      </w:r>
    </w:p>
  </w:endnote>
  <w:endnote w:type="continuationSeparator" w:id="0">
    <w:p w:rsidR="00124156" w:rsidRPr="003A79CE" w:rsidRDefault="00124156">
      <w:r w:rsidRPr="003A79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4156" w:rsidRPr="003A79CE" w:rsidRDefault="00124156">
      <w:r w:rsidRPr="003A79CE">
        <w:separator/>
      </w:r>
    </w:p>
  </w:footnote>
  <w:footnote w:type="continuationSeparator" w:id="0">
    <w:p w:rsidR="00124156" w:rsidRPr="003A79CE" w:rsidRDefault="00124156">
      <w:r w:rsidRPr="003A79CE">
        <w:continuationSeparator/>
      </w:r>
    </w:p>
  </w:footnote>
  <w:footnote w:id="1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 xml:space="preserve">SL L 193, 30.7.2018., str. 1., ELI: </w:t>
      </w:r>
      <w:hyperlink r:id="rId1" w:history="1">
        <w:r w:rsidRPr="003A79CE">
          <w:rPr>
            <w:rStyle w:val="Hyperlink"/>
            <w:sz w:val="24"/>
            <w:lang w:val="hr-HR"/>
          </w:rPr>
          <w:t>http://data.europa.eu/eli/reg/2018/1046/oj</w:t>
        </w:r>
      </w:hyperlink>
      <w:r w:rsidRPr="003A79CE">
        <w:rPr>
          <w:sz w:val="24"/>
          <w:lang w:val="hr-HR"/>
        </w:rPr>
        <w:t>.</w:t>
      </w:r>
    </w:p>
  </w:footnote>
  <w:footnote w:id="2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>SL L, 2024/2509, 26.9.2024.,</w:t>
      </w:r>
      <w:r w:rsidR="002E46A9">
        <w:rPr>
          <w:sz w:val="24"/>
          <w:lang w:val="hr-HR"/>
        </w:rPr>
        <w:t>ELI:</w:t>
      </w:r>
      <w:r w:rsidRPr="003A79CE">
        <w:rPr>
          <w:sz w:val="24"/>
          <w:lang w:val="hr-HR"/>
        </w:rPr>
        <w:t xml:space="preserve"> </w:t>
      </w:r>
      <w:r w:rsidR="00B84FB9">
        <w:fldChar w:fldCharType="begin"/>
      </w:r>
      <w:r w:rsidR="00B84FB9" w:rsidRPr="00B84FB9">
        <w:rPr>
          <w:lang w:val="fi-FI"/>
        </w:rPr>
        <w:instrText xml:space="preserve"> HYPERLINK "http://data.europa.eu/eli/reg/2024/2509/oj" </w:instrText>
      </w:r>
      <w:r w:rsidR="00B84FB9">
        <w:fldChar w:fldCharType="separate"/>
      </w:r>
      <w:r w:rsidRPr="003A79CE">
        <w:rPr>
          <w:rStyle w:val="Hyperlink"/>
          <w:sz w:val="24"/>
          <w:lang w:val="hr-HR"/>
        </w:rPr>
        <w:t>http://data.europa.eu/eli/reg/2024/2509/oj</w:t>
      </w:r>
      <w:r w:rsidR="00B84FB9">
        <w:rPr>
          <w:rStyle w:val="Hyperlink"/>
          <w:sz w:val="24"/>
          <w:lang w:val="hr-HR"/>
        </w:rPr>
        <w:fldChar w:fldCharType="end"/>
      </w:r>
      <w:r w:rsidRPr="003A79CE">
        <w:rPr>
          <w:sz w:val="24"/>
          <w:lang w:val="hr-HR"/>
        </w:rPr>
        <w:t>.</w:t>
      </w:r>
    </w:p>
  </w:footnote>
  <w:footnote w:id="3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 xml:space="preserve">SL L, 2024/207, 22.2.2024., ELI: </w:t>
      </w:r>
      <w:r w:rsidR="00B84FB9">
        <w:fldChar w:fldCharType="begin"/>
      </w:r>
      <w:r w:rsidR="00B84FB9" w:rsidRPr="00B84FB9">
        <w:rPr>
          <w:lang w:val="fi-FI"/>
        </w:rPr>
        <w:instrText xml:space="preserve"> HYPERLINK "http://data.europa.eu/eli/budget/2024/207/oj" </w:instrText>
      </w:r>
      <w:r w:rsidR="00B84FB9">
        <w:fldChar w:fldCharType="separate"/>
      </w:r>
      <w:r w:rsidRPr="003A79CE">
        <w:rPr>
          <w:rStyle w:val="Hyperlink"/>
          <w:sz w:val="24"/>
          <w:lang w:val="hr-HR"/>
        </w:rPr>
        <w:t>http://data.europa.eu/eli/budget/2024/207/oj</w:t>
      </w:r>
      <w:r w:rsidR="00B84FB9">
        <w:rPr>
          <w:rStyle w:val="Hyperlink"/>
          <w:sz w:val="24"/>
          <w:lang w:val="hr-HR"/>
        </w:rPr>
        <w:fldChar w:fldCharType="end"/>
      </w:r>
      <w:r w:rsidRPr="003A79CE">
        <w:rPr>
          <w:sz w:val="24"/>
          <w:lang w:val="hr-HR"/>
        </w:rPr>
        <w:t>.</w:t>
      </w:r>
    </w:p>
  </w:footnote>
  <w:footnote w:id="4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 xml:space="preserve">SL L 433 I, 22.12.2020., str. 11., ELI: </w:t>
      </w:r>
      <w:r w:rsidR="00B84FB9">
        <w:fldChar w:fldCharType="begin"/>
      </w:r>
      <w:r w:rsidR="00B84FB9" w:rsidRPr="00B84FB9">
        <w:rPr>
          <w:lang w:val="hr-HR"/>
        </w:rPr>
        <w:instrText xml:space="preserve"> HYPERLINK "http://data.europa.eu/eli/reg/2020/433/oj" </w:instrText>
      </w:r>
      <w:r w:rsidR="00B84FB9">
        <w:fldChar w:fldCharType="separate"/>
      </w:r>
      <w:r w:rsidRPr="003A79CE">
        <w:rPr>
          <w:rStyle w:val="Hyperlink"/>
          <w:sz w:val="24"/>
          <w:lang w:val="hr-HR"/>
        </w:rPr>
        <w:t>http://data.europa.eu/eli/reg/2020/433/oj</w:t>
      </w:r>
      <w:r w:rsidR="00B84FB9">
        <w:rPr>
          <w:rStyle w:val="Hyperlink"/>
          <w:sz w:val="24"/>
          <w:lang w:val="hr-HR"/>
        </w:rPr>
        <w:fldChar w:fldCharType="end"/>
      </w:r>
      <w:r w:rsidRPr="003A79CE">
        <w:rPr>
          <w:sz w:val="24"/>
          <w:lang w:val="hr-HR"/>
        </w:rPr>
        <w:t>.</w:t>
      </w:r>
    </w:p>
  </w:footnote>
  <w:footnote w:id="5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 xml:space="preserve">SL L 433 I, 22.12.2020., str. 28., ELI: </w:t>
      </w:r>
      <w:r w:rsidR="00B84FB9">
        <w:fldChar w:fldCharType="begin"/>
      </w:r>
      <w:r w:rsidR="00B84FB9" w:rsidRPr="00B84FB9">
        <w:rPr>
          <w:lang w:val="hr-HR"/>
        </w:rPr>
        <w:instrText xml:space="preserve"> HYPERLINK "http://data.europa.eu/eli/agree_interi</w:instrText>
      </w:r>
      <w:r w:rsidR="00B84FB9" w:rsidRPr="00B84FB9">
        <w:rPr>
          <w:lang w:val="hr-HR"/>
        </w:rPr>
        <w:instrText xml:space="preserve">nstit/2020/1222/oj" </w:instrText>
      </w:r>
      <w:r w:rsidR="00B84FB9">
        <w:fldChar w:fldCharType="separate"/>
      </w:r>
      <w:r w:rsidRPr="003A79CE">
        <w:rPr>
          <w:rStyle w:val="Hyperlink"/>
          <w:sz w:val="24"/>
          <w:lang w:val="hr-HR"/>
        </w:rPr>
        <w:t>http://data.europa.eu/eli/agree_interinstit/2020/1222/oj</w:t>
      </w:r>
      <w:r w:rsidR="00B84FB9">
        <w:rPr>
          <w:rStyle w:val="Hyperlink"/>
          <w:sz w:val="24"/>
          <w:lang w:val="hr-HR"/>
        </w:rPr>
        <w:fldChar w:fldCharType="end"/>
      </w:r>
      <w:r w:rsidRPr="003A79CE">
        <w:rPr>
          <w:sz w:val="24"/>
          <w:lang w:val="hr-HR"/>
        </w:rPr>
        <w:t>.</w:t>
      </w:r>
    </w:p>
  </w:footnote>
  <w:footnote w:id="6">
    <w:p w:rsidR="00B5323D" w:rsidRPr="003A79CE" w:rsidRDefault="00B5323D" w:rsidP="003A79CE">
      <w:pPr>
        <w:pStyle w:val="FootnoteText"/>
        <w:ind w:left="567" w:hanging="567"/>
        <w:rPr>
          <w:sz w:val="24"/>
          <w:lang w:val="hr-HR"/>
        </w:rPr>
      </w:pPr>
      <w:r w:rsidRPr="003A79CE">
        <w:rPr>
          <w:rStyle w:val="FootnoteReference"/>
          <w:sz w:val="24"/>
          <w:lang w:val="hr-HR"/>
        </w:rPr>
        <w:footnoteRef/>
      </w:r>
      <w:r w:rsidR="003A79CE" w:rsidRPr="003A79CE">
        <w:rPr>
          <w:sz w:val="24"/>
          <w:lang w:val="hr-HR"/>
        </w:rPr>
        <w:t xml:space="preserve"> </w:t>
      </w:r>
      <w:r w:rsidR="003A79CE" w:rsidRPr="003A79CE">
        <w:rPr>
          <w:sz w:val="24"/>
          <w:lang w:val="hr-HR"/>
        </w:rPr>
        <w:tab/>
      </w:r>
      <w:r w:rsidRPr="003A79CE">
        <w:rPr>
          <w:sz w:val="24"/>
          <w:lang w:val="hr-HR"/>
        </w:rPr>
        <w:t xml:space="preserve">SL L 424, 15.12.2020., str. 1., ELI: </w:t>
      </w:r>
      <w:r w:rsidR="00B84FB9">
        <w:fldChar w:fldCharType="begin"/>
      </w:r>
      <w:r w:rsidR="00B84FB9" w:rsidRPr="00B84FB9">
        <w:rPr>
          <w:lang w:val="fi-FI"/>
        </w:rPr>
        <w:instrText xml:space="preserve"> HYPERLINK "http://data.europa.eu/eli/dec/2020/2053/oj" </w:instrText>
      </w:r>
      <w:r w:rsidR="00B84FB9">
        <w:fldChar w:fldCharType="separate"/>
      </w:r>
      <w:r w:rsidRPr="003A79CE">
        <w:rPr>
          <w:rStyle w:val="Hyperlink"/>
          <w:sz w:val="24"/>
          <w:lang w:val="hr-HR"/>
        </w:rPr>
        <w:t>http://data.europa.eu/eli/dec/2020/2053/oj</w:t>
      </w:r>
      <w:r w:rsidR="00B84FB9">
        <w:rPr>
          <w:rStyle w:val="Hyperlink"/>
          <w:sz w:val="24"/>
          <w:lang w:val="hr-HR"/>
        </w:rPr>
        <w:fldChar w:fldCharType="end"/>
      </w:r>
      <w:r w:rsidRPr="003A79CE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79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7/2024"/>
    <w:docVar w:name="dvlangue" w:val="HR"/>
    <w:docVar w:name="dvnumam" w:val="0"/>
    <w:docVar w:name="dvpe" w:val="763.032"/>
    <w:docVar w:name="dvrapporteur" w:val="Izvjestitelj: "/>
    <w:docVar w:name="dvtitre" w:val="Rezolucija Europskog parlamenta od .... 2024. o stajalištu Vijeća o nacrtu izmjene proračuna br. 4/2024 Europske unije za financijsku godinu 2024. – ažuriranje prihoda (vlastita sredstva) i prilagodbe za neke od decentraliziranih agencija(13195/2024 – C10-0109/2024 – 2024/0185(BUD))"/>
  </w:docVars>
  <w:rsids>
    <w:rsidRoot w:val="00124156"/>
    <w:rsid w:val="00002272"/>
    <w:rsid w:val="00064002"/>
    <w:rsid w:val="000677B9"/>
    <w:rsid w:val="000831BA"/>
    <w:rsid w:val="000A42CC"/>
    <w:rsid w:val="000E7DD9"/>
    <w:rsid w:val="0010095E"/>
    <w:rsid w:val="00124156"/>
    <w:rsid w:val="00125B37"/>
    <w:rsid w:val="00187494"/>
    <w:rsid w:val="001F32AE"/>
    <w:rsid w:val="002767FF"/>
    <w:rsid w:val="002B18FE"/>
    <w:rsid w:val="002B5493"/>
    <w:rsid w:val="002E46A9"/>
    <w:rsid w:val="00343214"/>
    <w:rsid w:val="00361C00"/>
    <w:rsid w:val="00395FA1"/>
    <w:rsid w:val="003A79C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C3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323D"/>
    <w:rsid w:val="00B558F0"/>
    <w:rsid w:val="00B84FB9"/>
    <w:rsid w:val="00BD1CB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3EC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D37BD5"/>
  <w15:chartTrackingRefBased/>
  <w15:docId w15:val="{8BA31720-9AD3-48F1-855B-FA037D6D0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5323D"/>
    <w:pPr>
      <w:spacing w:before="480" w:after="240"/>
    </w:pPr>
  </w:style>
  <w:style w:type="paragraph" w:customStyle="1" w:styleId="NormalHanging12a">
    <w:name w:val="NormalHanging12a"/>
    <w:basedOn w:val="Normal"/>
    <w:rsid w:val="00B5323D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B5323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BD1C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1CB2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8/10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F2087-DD4E-47F8-B419-2FF7917F2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1120</Words>
  <Characters>6804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2024-11-21T13:52:00Z</dcterms:created>
  <dcterms:modified xsi:type="dcterms:W3CDTF">2024-11-21T13:52:00Z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P10_TA(2024)0024_</vt:lpwstr>
  </property>
  <property fmtid="{D5CDD505-2E9C-101B-9397-08002B2CF9AE}" pid="4" name="&lt;Type&gt;">
    <vt:lpwstr>RR</vt:lpwstr>
  </property>
</Properties>
</file>