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06A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706A0" w:rsidRDefault="00F55AC1" w:rsidP="0010095E">
            <w:pPr>
              <w:pStyle w:val="EPName"/>
            </w:pPr>
            <w:r w:rsidRPr="004706A0">
              <w:t>Parlamento europeo</w:t>
            </w:r>
          </w:p>
          <w:p w:rsidR="00751A4A" w:rsidRPr="004706A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06A0">
              <w:t>2024</w:t>
            </w:r>
            <w:r w:rsidR="00817416" w:rsidRPr="004706A0">
              <w:t>-202</w:t>
            </w:r>
            <w:r w:rsidRPr="004706A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706A0" w:rsidRDefault="00187494" w:rsidP="0010095E">
            <w:pPr>
              <w:pStyle w:val="EPLogo"/>
            </w:pPr>
            <w:r w:rsidRPr="004706A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706A0" w:rsidRDefault="00D058B8" w:rsidP="004C5D52">
      <w:pPr>
        <w:pStyle w:val="LineTop"/>
      </w:pPr>
    </w:p>
    <w:p w:rsidR="00680577" w:rsidRPr="004706A0" w:rsidRDefault="00F55AC1" w:rsidP="00680577">
      <w:pPr>
        <w:pStyle w:val="EPBodyTA1"/>
      </w:pPr>
      <w:r w:rsidRPr="004706A0">
        <w:t>TESTI APPROVATI</w:t>
      </w:r>
    </w:p>
    <w:p w:rsidR="00D058B8" w:rsidRPr="004706A0" w:rsidRDefault="00D058B8" w:rsidP="00D058B8">
      <w:pPr>
        <w:pStyle w:val="LineBottom"/>
      </w:pPr>
    </w:p>
    <w:p w:rsidR="00F55AC1" w:rsidRPr="004706A0" w:rsidRDefault="00F55AC1" w:rsidP="00F55AC1">
      <w:pPr>
        <w:pStyle w:val="ATHeading1"/>
      </w:pPr>
      <w:bookmarkStart w:id="0" w:name="TANumber"/>
      <w:r w:rsidRPr="004706A0">
        <w:t>P10_TA(2024)00</w:t>
      </w:r>
      <w:r w:rsidR="004706A0" w:rsidRPr="004706A0">
        <w:t>24</w:t>
      </w:r>
      <w:bookmarkEnd w:id="0"/>
    </w:p>
    <w:p w:rsidR="00F55AC1" w:rsidRPr="004706A0" w:rsidRDefault="00F55AC1" w:rsidP="00F55AC1">
      <w:pPr>
        <w:pStyle w:val="ATHeading2"/>
      </w:pPr>
      <w:bookmarkStart w:id="1" w:name="title"/>
      <w:r w:rsidRPr="004706A0">
        <w:t>Progetto di bilancio rettificativo n. 4/2024: aggiornamento delle entrate (risorse proprie) e adeguamenti per alcune agenzie decentrate</w:t>
      </w:r>
      <w:bookmarkEnd w:id="1"/>
    </w:p>
    <w:p w:rsidR="00F55AC1" w:rsidRPr="004706A0" w:rsidRDefault="00F55AC1" w:rsidP="00F55AC1">
      <w:pPr>
        <w:rPr>
          <w:i/>
          <w:vanish/>
        </w:rPr>
      </w:pPr>
      <w:r w:rsidRPr="004706A0">
        <w:rPr>
          <w:i/>
        </w:rPr>
        <w:fldChar w:fldCharType="begin"/>
      </w:r>
      <w:r w:rsidRPr="004706A0">
        <w:rPr>
          <w:i/>
        </w:rPr>
        <w:instrText xml:space="preserve"> TC"(</w:instrText>
      </w:r>
      <w:bookmarkStart w:id="2" w:name="DocNumber"/>
      <w:r w:rsidRPr="004706A0">
        <w:rPr>
          <w:i/>
        </w:rPr>
        <w:instrText>A10-0007/2024</w:instrText>
      </w:r>
      <w:bookmarkEnd w:id="2"/>
      <w:r w:rsidRPr="004706A0">
        <w:rPr>
          <w:i/>
        </w:rPr>
        <w:instrText xml:space="preserve"> - Relatore: Siegfried Mureşan)"\l3 \n&gt; \* MERGEFORMAT </w:instrText>
      </w:r>
      <w:r w:rsidRPr="004706A0">
        <w:rPr>
          <w:i/>
        </w:rPr>
        <w:fldChar w:fldCharType="end"/>
      </w:r>
    </w:p>
    <w:p w:rsidR="00F55AC1" w:rsidRPr="004706A0" w:rsidRDefault="00F55AC1" w:rsidP="00F55AC1">
      <w:pPr>
        <w:rPr>
          <w:vanish/>
        </w:rPr>
      </w:pPr>
      <w:bookmarkStart w:id="3" w:name="Commission"/>
      <w:r w:rsidRPr="004706A0">
        <w:rPr>
          <w:vanish/>
        </w:rPr>
        <w:t>Commissione per i bilanci</w:t>
      </w:r>
      <w:bookmarkEnd w:id="3"/>
    </w:p>
    <w:p w:rsidR="00F55AC1" w:rsidRPr="004706A0" w:rsidRDefault="00F55AC1" w:rsidP="00F55AC1">
      <w:pPr>
        <w:rPr>
          <w:vanish/>
        </w:rPr>
      </w:pPr>
      <w:bookmarkStart w:id="4" w:name="PE"/>
      <w:r w:rsidRPr="004706A0">
        <w:rPr>
          <w:vanish/>
        </w:rPr>
        <w:t>PE763.032</w:t>
      </w:r>
      <w:bookmarkEnd w:id="4"/>
    </w:p>
    <w:p w:rsidR="00F55AC1" w:rsidRPr="004706A0" w:rsidRDefault="00232E2A" w:rsidP="00F55AC1">
      <w:pPr>
        <w:pStyle w:val="ATHeading3"/>
      </w:pPr>
      <w:bookmarkStart w:id="5" w:name="Sujet"/>
      <w:r w:rsidRPr="004706A0">
        <w:t xml:space="preserve">Risoluzione </w:t>
      </w:r>
      <w:r w:rsidR="00F55AC1" w:rsidRPr="004706A0">
        <w:t>del Parlamento europeo del 2</w:t>
      </w:r>
      <w:r w:rsidR="00CF5F8B" w:rsidRPr="004706A0">
        <w:t>2</w:t>
      </w:r>
      <w:r w:rsidR="00F55AC1" w:rsidRPr="004706A0">
        <w:t xml:space="preserve"> ottobre 2024 concernente la posizione del Consiglio sul progetto di bilancio rettificativo n. 4/2024 dell'Unione europea per l'esercizio 2024 – Aggiornamento delle entrate (risorse proprie) e adeguamenti per alcune agenzie decentrate</w:t>
      </w:r>
      <w:bookmarkEnd w:id="5"/>
      <w:r w:rsidR="00F55AC1" w:rsidRPr="004706A0">
        <w:t xml:space="preserve"> </w:t>
      </w:r>
      <w:bookmarkStart w:id="6" w:name="References"/>
      <w:r w:rsidR="00F55AC1" w:rsidRPr="004706A0">
        <w:t>(13195/2024 – C10-0109/2024 – 2024/0185(BUD))</w:t>
      </w:r>
      <w:bookmarkEnd w:id="6"/>
    </w:p>
    <w:p w:rsidR="00EB67EA" w:rsidRPr="004706A0" w:rsidRDefault="00EB67EA" w:rsidP="00EB67EA">
      <w:pPr>
        <w:pStyle w:val="EPComma"/>
      </w:pPr>
      <w:bookmarkStart w:id="7" w:name="TextBodyBegin"/>
      <w:bookmarkEnd w:id="7"/>
      <w:r w:rsidRPr="004706A0">
        <w:rPr>
          <w:i/>
        </w:rPr>
        <w:t>Il Parlamento europeo</w:t>
      </w:r>
      <w:r w:rsidRPr="004706A0">
        <w:t>,</w:t>
      </w:r>
    </w:p>
    <w:p w:rsidR="00EB67EA" w:rsidRPr="004706A0" w:rsidRDefault="00EB67EA" w:rsidP="00EB67EA">
      <w:pPr>
        <w:pStyle w:val="NormalHanging12a"/>
      </w:pPr>
      <w:r w:rsidRPr="004706A0">
        <w:t>–</w:t>
      </w:r>
      <w:r w:rsidRPr="004706A0">
        <w:tab/>
        <w:t>visto l'articolo 314 del trattato sul funzionamento dell'Unione europea,</w:t>
      </w:r>
    </w:p>
    <w:p w:rsidR="00EB67EA" w:rsidRPr="004706A0" w:rsidRDefault="00EB67EA" w:rsidP="00EB67EA">
      <w:pPr>
        <w:pStyle w:val="NormalHanging12a"/>
      </w:pPr>
      <w:r w:rsidRPr="004706A0">
        <w:t>–</w:t>
      </w:r>
      <w:r w:rsidRPr="004706A0">
        <w:tab/>
        <w:t>visto l'articolo 106 bis del trattato che istituisce la Comunità europea dell'energia atomica,</w:t>
      </w:r>
    </w:p>
    <w:p w:rsidR="00EB67EA" w:rsidRPr="004706A0" w:rsidRDefault="00EB67EA" w:rsidP="00EB67EA">
      <w:pPr>
        <w:pStyle w:val="NormalHanging12a"/>
      </w:pPr>
      <w:r w:rsidRPr="004706A0">
        <w:t>–</w:t>
      </w:r>
      <w:r w:rsidRPr="004706A0">
        <w:tab/>
        <w:t xml:space="preserve">visto il regolamento (UE, </w:t>
      </w:r>
      <w:proofErr w:type="spellStart"/>
      <w:r w:rsidRPr="004706A0">
        <w:t>Euratom</w:t>
      </w:r>
      <w:proofErr w:type="spellEnd"/>
      <w:r w:rsidRPr="004706A0">
        <w:t>) 2018/1046 del Parlamento europeo e del Consiglio, del 18 luglio 2018, che stabilisce le regole finanziarie applicabili al bilancio generale dell'Unione, che modifica i regolamenti (UE) n. 1296/2013, (UE) n. 1301/2013, (UE) n. 1303/2013, (UE) n. 1304/2013, (UE) n. 1309/2013, (UE) n. 1316/2013, (UE) n. 223/2014, (UE) n. 283/2014 e la decisione n. 541/2014/UE e abroga il regolamento (UE, Euratom) n. 966/2012</w:t>
      </w:r>
      <w:r w:rsidRPr="004706A0">
        <w:rPr>
          <w:rStyle w:val="FootnoteReference"/>
        </w:rPr>
        <w:footnoteReference w:id="1"/>
      </w:r>
      <w:r w:rsidRPr="004706A0">
        <w:t>, in particolare l'articolo 44,</w:t>
      </w:r>
    </w:p>
    <w:p w:rsidR="00EB67EA" w:rsidRPr="004706A0" w:rsidRDefault="00EB67EA" w:rsidP="00EB67EA">
      <w:pPr>
        <w:pStyle w:val="NormalHanging12a"/>
      </w:pPr>
      <w:r w:rsidRPr="004706A0">
        <w:t>–</w:t>
      </w:r>
      <w:r w:rsidRPr="004706A0">
        <w:tab/>
        <w:t>visto il regolamento (UE, Euratom) 2024/2509 del Parlamento europeo e del Consiglio, del 23 settembre 2024, che stabilisce le regole finanziarie applicabili al bilancio generale dell'Unione</w:t>
      </w:r>
      <w:r w:rsidRPr="004706A0">
        <w:rPr>
          <w:rStyle w:val="FootnoteReference"/>
        </w:rPr>
        <w:footnoteReference w:id="2"/>
      </w:r>
      <w:r w:rsidRPr="004706A0">
        <w:t>, in particolare l'articolo 44,</w:t>
      </w:r>
    </w:p>
    <w:p w:rsidR="00EB67EA" w:rsidRPr="004706A0" w:rsidRDefault="00EB67EA" w:rsidP="00EB67EA">
      <w:pPr>
        <w:pStyle w:val="NormalHanging12a"/>
      </w:pPr>
      <w:r w:rsidRPr="004706A0">
        <w:t>–</w:t>
      </w:r>
      <w:r w:rsidRPr="004706A0">
        <w:tab/>
        <w:t>visto il bilancio generale dell'Unione europea per l'esercizio 2024, definitivamente adottato il 22 novembre 2023</w:t>
      </w:r>
      <w:r w:rsidRPr="004706A0">
        <w:rPr>
          <w:rStyle w:val="FootnoteReference"/>
        </w:rPr>
        <w:footnoteReference w:id="3"/>
      </w:r>
      <w:r w:rsidRPr="004706A0">
        <w:t>,</w:t>
      </w:r>
    </w:p>
    <w:p w:rsidR="00EB67EA" w:rsidRPr="004706A0" w:rsidRDefault="00EB67EA" w:rsidP="00EB67EA">
      <w:pPr>
        <w:pStyle w:val="NormalHanging12a"/>
      </w:pPr>
      <w:r w:rsidRPr="004706A0">
        <w:t>–</w:t>
      </w:r>
      <w:r w:rsidRPr="004706A0">
        <w:tab/>
        <w:t>visto il regolamento (UE, Euratom) 2020/2093 del Consiglio, del 17 dicembre 2020, che stabilisce il quadro finanziario pluriennale per il periodo 2021-2027</w:t>
      </w:r>
      <w:r w:rsidRPr="004706A0">
        <w:rPr>
          <w:rStyle w:val="FootnoteReference"/>
        </w:rPr>
        <w:footnoteReference w:id="4"/>
      </w:r>
      <w:r w:rsidRPr="004706A0">
        <w:t>,</w:t>
      </w:r>
    </w:p>
    <w:p w:rsidR="00EB67EA" w:rsidRPr="004706A0" w:rsidRDefault="00EB67EA" w:rsidP="00EB67EA">
      <w:pPr>
        <w:pStyle w:val="NormalHanging12a"/>
      </w:pPr>
      <w:r w:rsidRPr="004706A0">
        <w:lastRenderedPageBreak/>
        <w:t>–</w:t>
      </w:r>
      <w:r w:rsidRPr="004706A0">
        <w:tab/>
        <w:t>visto l'accordo interistituzionale, del 16 dicembre 2020, tra il Parlamento europeo, il Consiglio dell'Unione europea e la Commissione sulla disciplina di bilancio, sulla cooperazione in materia di bilancio e sulla sana gestione finanziaria, nonché su nuove risorse proprie, compresa una tabella di marcia verso l'introduzione di nuove risorse proprie</w:t>
      </w:r>
      <w:r w:rsidRPr="004706A0">
        <w:rPr>
          <w:rStyle w:val="FootnoteReference"/>
        </w:rPr>
        <w:footnoteReference w:id="5"/>
      </w:r>
      <w:r w:rsidRPr="004706A0">
        <w:t>,</w:t>
      </w:r>
    </w:p>
    <w:p w:rsidR="00EB67EA" w:rsidRPr="004706A0" w:rsidRDefault="00EB67EA" w:rsidP="00EB67EA">
      <w:pPr>
        <w:pStyle w:val="NormalHanging12a"/>
      </w:pPr>
      <w:r w:rsidRPr="004706A0">
        <w:t>–</w:t>
      </w:r>
      <w:r w:rsidRPr="004706A0">
        <w:tab/>
        <w:t>vista la decisione (UE, Euratom) 2020/2053 del Consiglio, del 14 dicembre 2020, relativa al sistema delle risorse proprie dell'Unione europea e che abroga la decisione 2014/335/UE, Euratom</w:t>
      </w:r>
      <w:r w:rsidRPr="004706A0">
        <w:rPr>
          <w:rStyle w:val="FootnoteReference"/>
        </w:rPr>
        <w:footnoteReference w:id="6"/>
      </w:r>
      <w:r w:rsidRPr="004706A0">
        <w:t>,</w:t>
      </w:r>
    </w:p>
    <w:p w:rsidR="00EB67EA" w:rsidRPr="004706A0" w:rsidRDefault="00EB67EA" w:rsidP="00EB67EA">
      <w:pPr>
        <w:pStyle w:val="NormalHanging12a"/>
        <w:widowControl/>
      </w:pPr>
      <w:r w:rsidRPr="004706A0">
        <w:t>–</w:t>
      </w:r>
      <w:r w:rsidRPr="004706A0">
        <w:tab/>
        <w:t>visto il progetto di bilancio rettificativo n. 4/2024 adottato dalla Commissione il 19 luglio 2024 (COM(2024)0931),</w:t>
      </w:r>
    </w:p>
    <w:p w:rsidR="00EB67EA" w:rsidRPr="004706A0" w:rsidRDefault="00EB67EA" w:rsidP="00EB67EA">
      <w:pPr>
        <w:pStyle w:val="NormalHanging12a"/>
      </w:pPr>
      <w:r w:rsidRPr="004706A0">
        <w:t>–</w:t>
      </w:r>
      <w:r w:rsidRPr="004706A0">
        <w:tab/>
        <w:t>vista la posizione sul progetto di bilancio rettificativo n. 4/2024 adottata dal Consiglio il 23 settembre 2024 e comunicata al Parlamento europeo il 24 settembre 2024 (13195/2024 – C10</w:t>
      </w:r>
      <w:r w:rsidRPr="004706A0">
        <w:noBreakHyphen/>
        <w:t>0109/2024),</w:t>
      </w:r>
    </w:p>
    <w:p w:rsidR="00EB67EA" w:rsidRPr="004706A0" w:rsidRDefault="00EB67EA" w:rsidP="00EB67EA">
      <w:pPr>
        <w:pStyle w:val="NormalHanging12a"/>
      </w:pPr>
      <w:r w:rsidRPr="004706A0">
        <w:t>–</w:t>
      </w:r>
      <w:r w:rsidRPr="004706A0">
        <w:tab/>
        <w:t>visti gli articoli 96 e 98 del suo regolamento,</w:t>
      </w:r>
    </w:p>
    <w:p w:rsidR="00EB67EA" w:rsidRPr="004706A0" w:rsidRDefault="00EB67EA" w:rsidP="00EB67EA">
      <w:pPr>
        <w:pStyle w:val="NormalHanging12a"/>
      </w:pPr>
      <w:r w:rsidRPr="004706A0">
        <w:t>–</w:t>
      </w:r>
      <w:r w:rsidRPr="004706A0">
        <w:tab/>
        <w:t>vista la relazione della commissione per i bilanci (A10-0007/2024),</w:t>
      </w:r>
    </w:p>
    <w:p w:rsidR="00EB67EA" w:rsidRPr="004706A0" w:rsidRDefault="00EB67EA" w:rsidP="00EB67EA">
      <w:pPr>
        <w:pStyle w:val="NormalHanging12a"/>
      </w:pPr>
      <w:r w:rsidRPr="004706A0">
        <w:t>A.</w:t>
      </w:r>
      <w:r w:rsidRPr="004706A0">
        <w:tab/>
        <w:t>considerando che il progetto di bilancio rettificativo n. 4/2024 è finalizzato principalmente all'aggiornamento del bilancio sul versante delle entrate per tenere conto degli ultimi sviluppi, nonché all'adeguamento del bilancio sul versante delle spese per alcune agenzie decentrate;</w:t>
      </w:r>
    </w:p>
    <w:p w:rsidR="00EB67EA" w:rsidRPr="004706A0" w:rsidRDefault="00EB67EA" w:rsidP="00EB67EA">
      <w:pPr>
        <w:pStyle w:val="NormalHanging12a"/>
      </w:pPr>
      <w:r w:rsidRPr="004706A0">
        <w:t>B.</w:t>
      </w:r>
      <w:r w:rsidRPr="004706A0">
        <w:tab/>
        <w:t xml:space="preserve">considerando che il progetto di </w:t>
      </w:r>
      <w:r w:rsidR="00D42FF3">
        <w:t>bilancio rettificativo n. 4/2024</w:t>
      </w:r>
      <w:bookmarkStart w:id="8" w:name="_GoBack"/>
      <w:bookmarkEnd w:id="8"/>
      <w:r w:rsidRPr="004706A0">
        <w:t xml:space="preserve"> comporta una revisione delle previsioni per le risorse proprie in relazione ai dazi doganali, che sono inferiori del 18,3 % rispetto alle previsioni del maggio 2023, alla base IVA non livellata, che è inferiore dello 0,6 % rispetto alle previsioni del maggio 2023, ai rifiuti di imballaggio di plastica non riciclati, che sono aumentati dello 0,6 % rispetto alle previsioni del maggio 2023, e alla base RNL totale dell'UE, che è aumentata dello 0,3 % rispetto alle previsioni del maggio 2023;</w:t>
      </w:r>
    </w:p>
    <w:p w:rsidR="00EB67EA" w:rsidRPr="004706A0" w:rsidRDefault="00EB67EA" w:rsidP="00EB67EA">
      <w:pPr>
        <w:pStyle w:val="NormalHanging12a"/>
      </w:pPr>
      <w:r w:rsidRPr="004706A0">
        <w:t>C.</w:t>
      </w:r>
      <w:r w:rsidRPr="004706A0">
        <w:tab/>
        <w:t>considerando che il progetto di bilancio rettificativo n. 4/2024 aggiorna anche il contributo del Regno Unito nel 2024 in conformità dell'accordo di recesso, che si attesta a 2,38 miliardi di EUR, che rappresenta una riduzione significativa di 1,52 miliardi di EUR rispetto alla stima inclusa nel bilancio 2024; che il progetto di bilancio rettificativo n. 4/2024 tiene conto altresì delle ammende e delle penalità riscosse fino alla fine del maggio 2024, aumentando di 513 milioni di EUR le previsioni iniziali per le ammende e le penalità introdotte nel bilancio 2024;</w:t>
      </w:r>
    </w:p>
    <w:p w:rsidR="00EB67EA" w:rsidRPr="004706A0" w:rsidRDefault="00EB67EA" w:rsidP="00EB67EA">
      <w:pPr>
        <w:pStyle w:val="NormalHanging12a"/>
      </w:pPr>
      <w:r w:rsidRPr="004706A0">
        <w:t>D.</w:t>
      </w:r>
      <w:r w:rsidRPr="004706A0">
        <w:tab/>
        <w:t xml:space="preserve">considerando che il progetto di bilancio rettificativo n. 4/2024 propone alcuni adeguamenti del finanziamento delle agenzie decentrate, con un aumento netto complessivo di 12 milioni di EUR e una proposta di mobilitare lo strumento di flessibilità per un importo pari a 13,2 milioni di EUR al fine di coprire gli aumenti per l'Agenzia europea per i medicinali ed Eurojust data l'assenza di margini disponibili </w:t>
      </w:r>
      <w:r w:rsidRPr="004706A0">
        <w:lastRenderedPageBreak/>
        <w:t>nell'ambito della sottorubrica 2b del quadro finanziario pluriennale (il "QFP");</w:t>
      </w:r>
    </w:p>
    <w:p w:rsidR="00EB67EA" w:rsidRPr="004706A0" w:rsidRDefault="00EB67EA" w:rsidP="00EB67EA">
      <w:pPr>
        <w:pStyle w:val="NormalHanging12a"/>
      </w:pPr>
      <w:r w:rsidRPr="004706A0">
        <w:t>1.</w:t>
      </w:r>
      <w:r w:rsidRPr="004706A0">
        <w:tab/>
        <w:t>accoglie con favore il progetto di bilancio rettificativo n. 4/2024 quale presentato dalla Commissione;</w:t>
      </w:r>
    </w:p>
    <w:p w:rsidR="00EB67EA" w:rsidRPr="004706A0" w:rsidRDefault="00EB67EA" w:rsidP="00EB67EA">
      <w:pPr>
        <w:pStyle w:val="NormalHanging12a"/>
        <w:rPr>
          <w:bCs/>
          <w:iCs/>
          <w:szCs w:val="24"/>
        </w:rPr>
      </w:pPr>
      <w:r w:rsidRPr="004706A0">
        <w:t>2.</w:t>
      </w:r>
      <w:r w:rsidRPr="004706A0">
        <w:tab/>
        <w:t xml:space="preserve">prende atto che la diminuzione dell'importo delle risorse proprie diverse dall'RNL (in particolare per quanto riguarda i dazi doganali) e dell'importo del contributo del Regno Unito al bilancio comporta un aumento dei contributi basati sull'RNL di 5,63 miliardi di EUR; rileva che vi è una divergenza significativa dalle previsioni iniziali riguardanti i dazi doganali e il contributo del Regno Unito e invita la Commissione a considerare se vi è margine per migliorare le sue previsioni, il che è essenziale ai fini della prevedibilità della pianificazione di bilancio; </w:t>
      </w:r>
    </w:p>
    <w:p w:rsidR="00EB67EA" w:rsidRPr="004706A0" w:rsidRDefault="00EB67EA" w:rsidP="00EB67EA">
      <w:pPr>
        <w:pStyle w:val="NormalHanging12a"/>
      </w:pPr>
      <w:r w:rsidRPr="004706A0">
        <w:t>3.</w:t>
      </w:r>
      <w:r w:rsidRPr="004706A0">
        <w:tab/>
        <w:t>sottolinea che, con il progetto di bilancio rettificativo n. 4/2024, le riduzioni forfettarie dei contributi basati sull'RNL per i cinque Stati membri beneficiari ammontano a circa 5,4 miliardi di EUR netti; sottolinea che tali riduzioni sono collegate all'inflazione e sono pertanto aumentate a un tasso più elevato rispetto ai massimali del QFP, che sono adeguati annualmente sulla base del deflatore del 2 %; sottolinea che tale anomalia aumenta l'onere per gli altri Stati membri;</w:t>
      </w:r>
    </w:p>
    <w:p w:rsidR="00EB67EA" w:rsidRPr="004706A0" w:rsidRDefault="00EB67EA" w:rsidP="00EB67EA">
      <w:pPr>
        <w:pStyle w:val="NormalHanging12a"/>
      </w:pPr>
      <w:r w:rsidRPr="004706A0">
        <w:t>4.</w:t>
      </w:r>
      <w:r w:rsidRPr="004706A0">
        <w:tab/>
        <w:t>sottolinea la necessità di entrate sostenibili per il bilancio dell'Unione, che è stato sottoposto a forti pressioni per rispondere alle varie crisi negli ultimi anni; deplora pertanto la mancanza di progressi in sede di Consiglio per quanto riguarda la riforma del sistema delle risorse proprie in linea con la tabella di marcia dell'accordo interistituzionale;</w:t>
      </w:r>
      <w:r w:rsidRPr="004706A0">
        <w:rPr>
          <w:color w:val="1E1E1F"/>
          <w:shd w:val="clear" w:color="auto" w:fill="FFFFFF"/>
        </w:rPr>
        <w:t xml:space="preserve"> </w:t>
      </w:r>
      <w:r w:rsidRPr="004706A0">
        <w:t>ricorda la propria posizione a sostegno delle proposte modificate della Commissione ed esorta il Consiglio e gli Stati membri ad adottare rapidamente tali proposte al fine di incrementare le risorse proprie a disposizione del bilancio dell'Unione; ricorda la sua posizione di lunga data secondo cui le ammende e i canoni dovrebbero essere utilizzati come entrate supplementari per il bilancio dell'Unione;</w:t>
      </w:r>
    </w:p>
    <w:p w:rsidR="00EB67EA" w:rsidRPr="004706A0" w:rsidRDefault="00EB67EA" w:rsidP="00EB67EA">
      <w:pPr>
        <w:pStyle w:val="NormalHanging12a"/>
      </w:pPr>
      <w:r w:rsidRPr="004706A0">
        <w:t>5.</w:t>
      </w:r>
      <w:r w:rsidRPr="004706A0">
        <w:tab/>
        <w:t>ribadisce la sua posizione di lunga data secondo cui le nuove priorità richiedono nuovi fondi; prende atto della serie di adeguamenti dei bilanci delle agenzie decentrate, principalmente in funzione dei compiti loro assegnati in base alla legislazione adottata recentemente; ricorda che le agenzie devono disporre del personale e del bilancio necessari per svolgere adeguatamente il loro mandato; deplora che, in molti casi, lo stanziamento di risorse supplementari per un'agenzia decentrata comporta una corrispondente riduzione della dotazione del programma;</w:t>
      </w:r>
    </w:p>
    <w:p w:rsidR="00EB67EA" w:rsidRPr="004706A0" w:rsidRDefault="00EB67EA" w:rsidP="00EB67EA">
      <w:pPr>
        <w:pStyle w:val="NormalHanging12a"/>
      </w:pPr>
      <w:r w:rsidRPr="004706A0">
        <w:t>6.</w:t>
      </w:r>
      <w:r w:rsidRPr="004706A0">
        <w:tab/>
        <w:t>si rammarica che, nell'attuale QFP, un importo totale di 1,5 miliardi di EUR sia stato finora oggetto di riassegnazione o di proposte di riassegnazione dai programmi verso le agenzie decentrate; sottolinea che il volume delle riassegnazioni è sintomatico delle risorse limitate di cui dispone il bilancio dell'Unione e sottolinea la necessità di assicurare la flessibilità di bilancio per adeguare le risorse delle agenzie in linea con i cambiamenti dei loro mandati e dei loro compiti durante il QFP;</w:t>
      </w:r>
    </w:p>
    <w:p w:rsidR="00EB67EA" w:rsidRPr="004706A0" w:rsidRDefault="00EB67EA" w:rsidP="00EB67EA">
      <w:pPr>
        <w:pStyle w:val="NormalHanging12a"/>
      </w:pPr>
      <w:r w:rsidRPr="004706A0">
        <w:t>7.</w:t>
      </w:r>
      <w:r w:rsidRPr="004706A0">
        <w:tab/>
        <w:t xml:space="preserve">prende atto che il progetto di bilancio rettificativo n. 4/2024 comporta un aumento di 2 milioni di EUR per Eurojust a causa della pressione inflazionaria; sottolinea che la pressione inflazionaria rappresenta chiaramente una sfida per tutte le agenzie decentrate, in considerazione di un'inflazione superiore al deflatore annuale del 2 % che aumenta i massimali del QFP e del fatto che le spese di personale e funzionamento delle agenzie decentrate subiscono di conseguenza una forte pressione; ritiene che l'attuale </w:t>
      </w:r>
      <w:r w:rsidRPr="004706A0">
        <w:lastRenderedPageBreak/>
        <w:t>trattamento dei bilanci delle agenzie decentrate come separati dalle spese amministrative a titolo della rubrica 7 debba costituire l'oggetto di una riflessione più approfondita nel quadro dei preparativi della Commissione in vista del QFP post-2027;</w:t>
      </w:r>
    </w:p>
    <w:p w:rsidR="00EB67EA" w:rsidRPr="004706A0" w:rsidRDefault="00EB67EA" w:rsidP="00EB67EA">
      <w:pPr>
        <w:pStyle w:val="NormalHanging12a"/>
      </w:pPr>
      <w:r w:rsidRPr="004706A0">
        <w:t>8.</w:t>
      </w:r>
      <w:r w:rsidRPr="004706A0">
        <w:tab/>
        <w:t>approva la posizione del Consiglio sul progetto di bilancio rettificativo n. 4/2024;</w:t>
      </w:r>
    </w:p>
    <w:p w:rsidR="00EB67EA" w:rsidRPr="004706A0" w:rsidRDefault="00EB67EA" w:rsidP="00EB67EA">
      <w:pPr>
        <w:pStyle w:val="NormalHanging12a"/>
      </w:pPr>
      <w:r w:rsidRPr="004706A0">
        <w:t>9.</w:t>
      </w:r>
      <w:r w:rsidRPr="004706A0">
        <w:tab/>
        <w:t xml:space="preserve">incarica la sua Presidente di constatare che il bilancio rettificativo n. 4/2024 è definitivamente adottato e di provvedere alla sua pubblicazione nella </w:t>
      </w:r>
      <w:r w:rsidRPr="004706A0">
        <w:rPr>
          <w:i/>
          <w:iCs/>
        </w:rPr>
        <w:t>Gazzetta ufficiale dell'Unione europea</w:t>
      </w:r>
      <w:r w:rsidRPr="004706A0">
        <w:t>;</w:t>
      </w:r>
    </w:p>
    <w:p w:rsidR="00E365E1" w:rsidRPr="004706A0" w:rsidRDefault="00EB67EA" w:rsidP="00332D26">
      <w:pPr>
        <w:pStyle w:val="NormalHanging12a"/>
        <w:widowControl/>
      </w:pPr>
      <w:r w:rsidRPr="004706A0">
        <w:t>10.</w:t>
      </w:r>
      <w:r w:rsidRPr="004706A0">
        <w:tab/>
        <w:t>incarica la sua Presidente di trasmettere la presente risoluzione al Consiglio e alla Commissione nonché alle altre istituzioni e agli organi interessati e ai parlamenti nazionali.</w:t>
      </w:r>
      <w:bookmarkStart w:id="9" w:name="TextBodyEnd"/>
      <w:bookmarkEnd w:id="9"/>
    </w:p>
    <w:sectPr w:rsidR="00E365E1" w:rsidRPr="004706A0" w:rsidSect="009B33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AC1" w:rsidRPr="009B3348" w:rsidRDefault="00F55AC1">
      <w:r w:rsidRPr="009B3348">
        <w:separator/>
      </w:r>
    </w:p>
  </w:endnote>
  <w:endnote w:type="continuationSeparator" w:id="0">
    <w:p w:rsidR="00F55AC1" w:rsidRPr="009B3348" w:rsidRDefault="00F55AC1">
      <w:r w:rsidRPr="009B334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334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334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334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AC1" w:rsidRPr="009B3348" w:rsidRDefault="00F55AC1">
      <w:r w:rsidRPr="009B3348">
        <w:separator/>
      </w:r>
    </w:p>
  </w:footnote>
  <w:footnote w:type="continuationSeparator" w:id="0">
    <w:p w:rsidR="00F55AC1" w:rsidRPr="009B3348" w:rsidRDefault="00F55AC1">
      <w:r w:rsidRPr="009B3348">
        <w:continuationSeparator/>
      </w:r>
    </w:p>
  </w:footnote>
  <w:footnote w:id="1">
    <w:p w:rsidR="00EB67EA" w:rsidRPr="009B3348" w:rsidRDefault="00EB67EA" w:rsidP="009B3348">
      <w:pPr>
        <w:pStyle w:val="FootnoteText"/>
        <w:ind w:left="567" w:hanging="567"/>
        <w:rPr>
          <w:sz w:val="24"/>
          <w:lang w:val="it-IT"/>
        </w:rPr>
      </w:pPr>
      <w:r w:rsidRPr="009B3348">
        <w:rPr>
          <w:rStyle w:val="FootnoteReference"/>
          <w:sz w:val="24"/>
          <w:lang w:val="it-IT"/>
        </w:rPr>
        <w:footnoteRef/>
      </w:r>
      <w:r w:rsidR="009B3348" w:rsidRPr="009B3348">
        <w:rPr>
          <w:sz w:val="24"/>
          <w:lang w:val="it-IT"/>
        </w:rPr>
        <w:t xml:space="preserve"> </w:t>
      </w:r>
      <w:r w:rsidR="009B3348" w:rsidRPr="009B3348">
        <w:rPr>
          <w:sz w:val="24"/>
          <w:lang w:val="it-IT"/>
        </w:rPr>
        <w:tab/>
      </w:r>
      <w:r w:rsidRPr="009B3348">
        <w:rPr>
          <w:sz w:val="24"/>
          <w:lang w:val="it-IT"/>
        </w:rPr>
        <w:t xml:space="preserve">GU L 193 del 30.7.2018, pag. 1, ELI: </w:t>
      </w:r>
      <w:hyperlink r:id="rId1" w:history="1">
        <w:r w:rsidRPr="009B3348">
          <w:rPr>
            <w:rStyle w:val="Hyperlink"/>
            <w:sz w:val="24"/>
            <w:lang w:val="it-IT"/>
          </w:rPr>
          <w:t>https://eur-lex.europa.eu/eli/reg/2018/1046/oj</w:t>
        </w:r>
      </w:hyperlink>
      <w:r w:rsidRPr="009B3348">
        <w:rPr>
          <w:sz w:val="24"/>
          <w:lang w:val="it-IT"/>
        </w:rPr>
        <w:t>.</w:t>
      </w:r>
    </w:p>
  </w:footnote>
  <w:footnote w:id="2">
    <w:p w:rsidR="00EB67EA" w:rsidRPr="004706A0" w:rsidRDefault="00EB67EA" w:rsidP="009B3348">
      <w:pPr>
        <w:pStyle w:val="FootnoteText"/>
        <w:ind w:left="567" w:hanging="567"/>
        <w:rPr>
          <w:sz w:val="24"/>
          <w:lang w:val="it-IT"/>
        </w:rPr>
      </w:pPr>
      <w:r w:rsidRPr="009B3348">
        <w:rPr>
          <w:rStyle w:val="FootnoteReference"/>
          <w:sz w:val="24"/>
          <w:lang w:val="it-IT"/>
        </w:rPr>
        <w:footnoteRef/>
      </w:r>
      <w:r w:rsidR="009B3348" w:rsidRPr="004706A0">
        <w:rPr>
          <w:sz w:val="24"/>
          <w:lang w:val="it-IT"/>
        </w:rPr>
        <w:t xml:space="preserve"> </w:t>
      </w:r>
      <w:r w:rsidR="009B3348" w:rsidRPr="004706A0">
        <w:rPr>
          <w:sz w:val="24"/>
          <w:lang w:val="it-IT"/>
        </w:rPr>
        <w:tab/>
      </w:r>
      <w:r w:rsidRPr="004706A0">
        <w:rPr>
          <w:sz w:val="24"/>
          <w:lang w:val="it-IT"/>
        </w:rPr>
        <w:t xml:space="preserve">GU L, 2024/2509, 26.9.2024, </w:t>
      </w:r>
      <w:hyperlink r:id="rId2" w:history="1">
        <w:r w:rsidRPr="004706A0">
          <w:rPr>
            <w:rStyle w:val="Hyperlink"/>
            <w:sz w:val="24"/>
            <w:lang w:val="it-IT"/>
          </w:rPr>
          <w:t>http://data.europa.eu/eli/reg/2024/2509/oj</w:t>
        </w:r>
      </w:hyperlink>
      <w:r w:rsidRPr="004706A0">
        <w:rPr>
          <w:sz w:val="24"/>
          <w:lang w:val="it-IT"/>
        </w:rPr>
        <w:t>.</w:t>
      </w:r>
    </w:p>
  </w:footnote>
  <w:footnote w:id="3">
    <w:p w:rsidR="00EB67EA" w:rsidRPr="00332D26" w:rsidRDefault="00EB67EA" w:rsidP="009B3348">
      <w:pPr>
        <w:pStyle w:val="FootnoteText"/>
        <w:ind w:left="567" w:hanging="567"/>
        <w:rPr>
          <w:sz w:val="24"/>
          <w:lang w:val="fi-FI"/>
        </w:rPr>
      </w:pPr>
      <w:r w:rsidRPr="009B3348">
        <w:rPr>
          <w:rStyle w:val="FootnoteReference"/>
          <w:sz w:val="24"/>
          <w:lang w:val="it-IT"/>
        </w:rPr>
        <w:footnoteRef/>
      </w:r>
      <w:r w:rsidR="009B3348" w:rsidRPr="00332D26">
        <w:rPr>
          <w:sz w:val="24"/>
          <w:lang w:val="fi-FI"/>
        </w:rPr>
        <w:t xml:space="preserve"> </w:t>
      </w:r>
      <w:r w:rsidR="009B3348" w:rsidRPr="00332D26">
        <w:rPr>
          <w:sz w:val="24"/>
          <w:lang w:val="fi-FI"/>
        </w:rPr>
        <w:tab/>
      </w:r>
      <w:r w:rsidRPr="00332D26">
        <w:rPr>
          <w:sz w:val="24"/>
          <w:lang w:val="fi-FI"/>
        </w:rPr>
        <w:t xml:space="preserve">GU L, 2024/207, 22.2.2024, ELI: </w:t>
      </w:r>
      <w:hyperlink r:id="rId3" w:history="1">
        <w:r w:rsidRPr="00332D26">
          <w:rPr>
            <w:rStyle w:val="Hyperlink"/>
            <w:sz w:val="24"/>
            <w:lang w:val="fi-FI"/>
          </w:rPr>
          <w:t>http://data.europa.eu/eli/budget/2024/207/oj</w:t>
        </w:r>
      </w:hyperlink>
      <w:r w:rsidRPr="00332D26">
        <w:rPr>
          <w:sz w:val="24"/>
          <w:lang w:val="fi-FI"/>
        </w:rPr>
        <w:t>.</w:t>
      </w:r>
    </w:p>
  </w:footnote>
  <w:footnote w:id="4">
    <w:p w:rsidR="00EB67EA" w:rsidRPr="009B3348" w:rsidRDefault="00EB67EA" w:rsidP="009B3348">
      <w:pPr>
        <w:pStyle w:val="FootnoteText"/>
        <w:ind w:left="567" w:hanging="567"/>
        <w:rPr>
          <w:sz w:val="24"/>
          <w:lang w:val="it-IT"/>
        </w:rPr>
      </w:pPr>
      <w:r w:rsidRPr="009B3348">
        <w:rPr>
          <w:rStyle w:val="FootnoteReference"/>
          <w:sz w:val="24"/>
          <w:lang w:val="it-IT"/>
        </w:rPr>
        <w:footnoteRef/>
      </w:r>
      <w:r w:rsidR="009B3348" w:rsidRPr="009B3348">
        <w:rPr>
          <w:sz w:val="24"/>
          <w:lang w:val="it-IT"/>
        </w:rPr>
        <w:t xml:space="preserve"> </w:t>
      </w:r>
      <w:r w:rsidR="009B3348" w:rsidRPr="009B3348">
        <w:rPr>
          <w:sz w:val="24"/>
          <w:lang w:val="it-IT"/>
        </w:rPr>
        <w:tab/>
      </w:r>
      <w:r w:rsidRPr="009B3348">
        <w:rPr>
          <w:sz w:val="24"/>
          <w:lang w:val="it-IT"/>
        </w:rPr>
        <w:t>GU L 433</w:t>
      </w:r>
      <w:r w:rsidR="00D42FF3">
        <w:rPr>
          <w:sz w:val="24"/>
          <w:lang w:val="it-IT"/>
        </w:rPr>
        <w:t xml:space="preserve"> </w:t>
      </w:r>
      <w:r w:rsidRPr="009B3348">
        <w:rPr>
          <w:sz w:val="24"/>
          <w:lang w:val="it-IT"/>
        </w:rPr>
        <w:t xml:space="preserve">I del 22.12.2020, pag. 11, ELI: </w:t>
      </w:r>
      <w:hyperlink r:id="rId4" w:history="1">
        <w:r w:rsidRPr="009B3348">
          <w:rPr>
            <w:rStyle w:val="Hyperlink"/>
            <w:sz w:val="24"/>
            <w:lang w:val="it-IT"/>
          </w:rPr>
          <w:t>http://data.europa.eu/eli/reg/2020/2093/oj</w:t>
        </w:r>
      </w:hyperlink>
      <w:r w:rsidRPr="009B3348">
        <w:rPr>
          <w:sz w:val="24"/>
          <w:lang w:val="it-IT"/>
        </w:rPr>
        <w:t>.</w:t>
      </w:r>
    </w:p>
  </w:footnote>
  <w:footnote w:id="5">
    <w:p w:rsidR="00EB67EA" w:rsidRPr="009B3348" w:rsidRDefault="00EB67EA" w:rsidP="009B3348">
      <w:pPr>
        <w:pStyle w:val="FootnoteText"/>
        <w:ind w:left="567" w:hanging="567"/>
        <w:rPr>
          <w:sz w:val="24"/>
          <w:lang w:val="it-IT"/>
        </w:rPr>
      </w:pPr>
      <w:r w:rsidRPr="009B3348">
        <w:rPr>
          <w:rStyle w:val="FootnoteReference"/>
          <w:sz w:val="24"/>
          <w:lang w:val="it-IT"/>
        </w:rPr>
        <w:footnoteRef/>
      </w:r>
      <w:r w:rsidR="009B3348" w:rsidRPr="009B3348">
        <w:rPr>
          <w:sz w:val="24"/>
          <w:lang w:val="it-IT"/>
        </w:rPr>
        <w:t xml:space="preserve"> </w:t>
      </w:r>
      <w:r w:rsidR="009B3348" w:rsidRPr="009B3348">
        <w:rPr>
          <w:sz w:val="24"/>
          <w:lang w:val="it-IT"/>
        </w:rPr>
        <w:tab/>
      </w:r>
      <w:r w:rsidRPr="009B3348">
        <w:rPr>
          <w:sz w:val="24"/>
          <w:lang w:val="it-IT"/>
        </w:rPr>
        <w:t>GU L 433</w:t>
      </w:r>
      <w:r w:rsidR="00D42FF3">
        <w:rPr>
          <w:sz w:val="24"/>
          <w:lang w:val="it-IT"/>
        </w:rPr>
        <w:t xml:space="preserve"> </w:t>
      </w:r>
      <w:r w:rsidRPr="009B3348">
        <w:rPr>
          <w:sz w:val="24"/>
          <w:lang w:val="it-IT"/>
        </w:rPr>
        <w:t xml:space="preserve">I del 22.12.2020, pag. 28, ELI: </w:t>
      </w:r>
      <w:hyperlink r:id="rId5" w:history="1">
        <w:r w:rsidRPr="009B3348">
          <w:rPr>
            <w:rStyle w:val="Hyperlink"/>
            <w:sz w:val="24"/>
            <w:lang w:val="it-IT"/>
          </w:rPr>
          <w:t>http://data.europa.eu/eli/agree_interinstit/2020/1222/oj</w:t>
        </w:r>
      </w:hyperlink>
      <w:r w:rsidRPr="009B3348">
        <w:rPr>
          <w:sz w:val="24"/>
          <w:lang w:val="it-IT"/>
        </w:rPr>
        <w:t>.</w:t>
      </w:r>
    </w:p>
  </w:footnote>
  <w:footnote w:id="6">
    <w:p w:rsidR="00EB67EA" w:rsidRPr="009B3348" w:rsidRDefault="00EB67EA" w:rsidP="009B3348">
      <w:pPr>
        <w:pStyle w:val="FootnoteText"/>
        <w:ind w:left="567" w:hanging="567"/>
        <w:rPr>
          <w:sz w:val="24"/>
          <w:lang w:val="it-IT"/>
        </w:rPr>
      </w:pPr>
      <w:r w:rsidRPr="009B3348">
        <w:rPr>
          <w:rStyle w:val="FootnoteReference"/>
          <w:sz w:val="24"/>
          <w:lang w:val="it-IT"/>
        </w:rPr>
        <w:footnoteRef/>
      </w:r>
      <w:r w:rsidR="009B3348" w:rsidRPr="009B3348">
        <w:rPr>
          <w:sz w:val="24"/>
          <w:lang w:val="it-IT"/>
        </w:rPr>
        <w:t xml:space="preserve"> </w:t>
      </w:r>
      <w:r w:rsidR="009B3348" w:rsidRPr="009B3348">
        <w:rPr>
          <w:sz w:val="24"/>
          <w:lang w:val="it-IT"/>
        </w:rPr>
        <w:tab/>
      </w:r>
      <w:r w:rsidRPr="009B3348">
        <w:rPr>
          <w:sz w:val="24"/>
          <w:lang w:val="it-IT"/>
        </w:rPr>
        <w:t xml:space="preserve">GU L 424 del 15.12.2020, pag. 1, ELI: </w:t>
      </w:r>
      <w:hyperlink r:id="rId6" w:history="1">
        <w:r w:rsidRPr="009B3348">
          <w:rPr>
            <w:rStyle w:val="Hyperlink"/>
            <w:sz w:val="24"/>
            <w:lang w:val="it-IT"/>
          </w:rPr>
          <w:t>http://data.europa.eu/eli/dec/2020/2053/oj</w:t>
        </w:r>
      </w:hyperlink>
      <w:r w:rsidRPr="009B3348">
        <w:rPr>
          <w:sz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334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334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334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4"/>
    <w:docVar w:name="dvlangue" w:val="IT"/>
    <w:docVar w:name="dvnumam" w:val="0"/>
    <w:docVar w:name="dvpe" w:val="763.032"/>
    <w:docVar w:name="dvrapporteur" w:val="Relatore: "/>
    <w:docVar w:name="dvtitre" w:val="Risoluzione legislativa del Parlamento europeo del 21 ottobre 2024 concernente la posizione del Consiglio sul progetto di bilancio rettificativo n. 4/2024 dell'Unione europea per l'esercizio 2024 – Aggiornamento delle entrate (risorse proprie) e adeguamenti per alcune agenzie decentrate(13195/2024 – C10-0109/2024 – 2024/0185(BUD))"/>
  </w:docVars>
  <w:rsids>
    <w:rsidRoot w:val="00F55AC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2E2A"/>
    <w:rsid w:val="002767FF"/>
    <w:rsid w:val="002B18FE"/>
    <w:rsid w:val="002B5493"/>
    <w:rsid w:val="00332D26"/>
    <w:rsid w:val="00343214"/>
    <w:rsid w:val="00361C00"/>
    <w:rsid w:val="00395FA1"/>
    <w:rsid w:val="003E15D4"/>
    <w:rsid w:val="00411CCE"/>
    <w:rsid w:val="0041666E"/>
    <w:rsid w:val="00421060"/>
    <w:rsid w:val="004706A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334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5F8B"/>
    <w:rsid w:val="00D058B8"/>
    <w:rsid w:val="00D42FF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67EA"/>
    <w:rsid w:val="00ED169E"/>
    <w:rsid w:val="00ED4235"/>
    <w:rsid w:val="00F04346"/>
    <w:rsid w:val="00F075DC"/>
    <w:rsid w:val="00F149E9"/>
    <w:rsid w:val="00F5134D"/>
    <w:rsid w:val="00F55AC1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C49C2E"/>
  <w15:chartTrackingRefBased/>
  <w15:docId w15:val="{EC2FFDCB-C627-477D-A30C-D1F9D09D9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B67E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B67EA"/>
    <w:pPr>
      <w:spacing w:before="480" w:after="240"/>
    </w:pPr>
  </w:style>
  <w:style w:type="paragraph" w:customStyle="1" w:styleId="PageHeading">
    <w:name w:val="PageHeading"/>
    <w:basedOn w:val="Normal"/>
    <w:rsid w:val="00EB67E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EB67E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B67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B67EA"/>
    <w:rPr>
      <w:sz w:val="24"/>
      <w:lang w:val="it-IT"/>
    </w:rPr>
  </w:style>
  <w:style w:type="paragraph" w:customStyle="1" w:styleId="EPFooter">
    <w:name w:val="EPFooter"/>
    <w:basedOn w:val="Normal"/>
    <w:rsid w:val="00EB67E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EB67EA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EB67EA"/>
    <w:pPr>
      <w:spacing w:after="480"/>
    </w:pPr>
  </w:style>
  <w:style w:type="paragraph" w:customStyle="1" w:styleId="NormalBoldCenter">
    <w:name w:val="NormalBoldCenter"/>
    <w:basedOn w:val="Normal"/>
    <w:rsid w:val="00EB67EA"/>
    <w:pPr>
      <w:jc w:val="center"/>
    </w:pPr>
    <w:rPr>
      <w:b/>
    </w:rPr>
  </w:style>
  <w:style w:type="paragraph" w:customStyle="1" w:styleId="Footprint12b">
    <w:name w:val="Footprint12b"/>
    <w:basedOn w:val="Normal"/>
    <w:rsid w:val="00EB67E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EB67EA"/>
    <w:rPr>
      <w:szCs w:val="24"/>
    </w:rPr>
  </w:style>
  <w:style w:type="paragraph" w:customStyle="1" w:styleId="RollCallVotes">
    <w:name w:val="RollCallVotes"/>
    <w:basedOn w:val="Normal"/>
    <w:rsid w:val="00EB67E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B67E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B67E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B67EA"/>
    <w:pPr>
      <w:spacing w:before="120" w:after="120"/>
    </w:pPr>
    <w:rPr>
      <w:snapToGrid w:val="0"/>
      <w:sz w:val="16"/>
      <w:lang w:eastAsia="en-US"/>
    </w:rPr>
  </w:style>
  <w:style w:type="paragraph" w:styleId="BalloonText">
    <w:name w:val="Balloon Text"/>
    <w:basedOn w:val="Normal"/>
    <w:link w:val="BalloonTextChar"/>
    <w:rsid w:val="004706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706A0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budget/2024/207/oj" TargetMode="External"/><Relationship Id="rId2" Type="http://schemas.openxmlformats.org/officeDocument/2006/relationships/hyperlink" Target="http://data.europa.eu/eli/reg/2024/2509/oj" TargetMode="External"/><Relationship Id="rId1" Type="http://schemas.openxmlformats.org/officeDocument/2006/relationships/hyperlink" Target="https://eur-lex.europa.eu/eli/reg/2018/1046/oj" TargetMode="External"/><Relationship Id="rId6" Type="http://schemas.openxmlformats.org/officeDocument/2006/relationships/hyperlink" Target="http://data.europa.eu/eli/dec/2020/2053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://data.europa.eu/eli/reg/2020/2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6A49F-66BF-40C9-8CD1-EEFDA3299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1296</Words>
  <Characters>7671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ROSSI Angela</cp:lastModifiedBy>
  <cp:revision>2</cp:revision>
  <cp:lastPrinted>2004-11-19T15:42:00Z</cp:lastPrinted>
  <dcterms:created xsi:type="dcterms:W3CDTF">2024-11-20T14:00:00Z</dcterms:created>
  <dcterms:modified xsi:type="dcterms:W3CDTF">2024-11-20T14:00:00Z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P10_TA(2024)0024_</vt:lpwstr>
  </property>
  <property fmtid="{D5CDD505-2E9C-101B-9397-08002B2CF9AE}" pid="4" name="&lt;Type&gt;">
    <vt:lpwstr>RR</vt:lpwstr>
  </property>
</Properties>
</file>