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7EC4" w:rsidTr="0010095E">
        <w:trPr>
          <w:trHeight w:hRule="exact" w:val="1418"/>
        </w:trPr>
        <w:tc>
          <w:tcPr>
            <w:tcW w:w="6804" w:type="dxa"/>
            <w:shd w:val="clear" w:color="auto" w:fill="auto"/>
            <w:vAlign w:val="center"/>
          </w:tcPr>
          <w:p w:rsidR="00751A4A" w:rsidRPr="00C47EC4" w:rsidRDefault="00AE1980" w:rsidP="0010095E">
            <w:pPr>
              <w:pStyle w:val="EPName"/>
            </w:pPr>
            <w:r w:rsidRPr="00C47EC4">
              <w:t>Europos Parlamentas</w:t>
            </w:r>
          </w:p>
          <w:p w:rsidR="00751A4A" w:rsidRPr="00C47EC4" w:rsidRDefault="005F1B17" w:rsidP="005F1B17">
            <w:pPr>
              <w:pStyle w:val="EPTerm"/>
              <w:rPr>
                <w:rStyle w:val="HideTWBExt"/>
                <w:noProof w:val="0"/>
                <w:vanish w:val="0"/>
                <w:color w:val="auto"/>
              </w:rPr>
            </w:pPr>
            <w:r w:rsidRPr="00C47EC4">
              <w:t>2024</w:t>
            </w:r>
            <w:r w:rsidR="00817416" w:rsidRPr="00C47EC4">
              <w:t>-202</w:t>
            </w:r>
            <w:r w:rsidRPr="00C47EC4">
              <w:t>9</w:t>
            </w:r>
          </w:p>
        </w:tc>
        <w:tc>
          <w:tcPr>
            <w:tcW w:w="2268" w:type="dxa"/>
            <w:shd w:val="clear" w:color="auto" w:fill="auto"/>
          </w:tcPr>
          <w:p w:rsidR="00751A4A" w:rsidRPr="00C47EC4" w:rsidRDefault="00187494" w:rsidP="0010095E">
            <w:pPr>
              <w:pStyle w:val="EPLogo"/>
            </w:pPr>
            <w:r w:rsidRPr="00C47EC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7EC4" w:rsidRDefault="00D058B8" w:rsidP="004C5D52">
      <w:pPr>
        <w:pStyle w:val="LineTop"/>
      </w:pPr>
    </w:p>
    <w:p w:rsidR="00680577" w:rsidRPr="00C47EC4" w:rsidRDefault="00AE1980" w:rsidP="00680577">
      <w:pPr>
        <w:pStyle w:val="EPBodyTA1"/>
      </w:pPr>
      <w:r w:rsidRPr="00C47EC4">
        <w:t>PRIIMTI TEKSTAI</w:t>
      </w:r>
    </w:p>
    <w:p w:rsidR="00D058B8" w:rsidRPr="00C47EC4" w:rsidRDefault="00D058B8" w:rsidP="00D058B8">
      <w:pPr>
        <w:pStyle w:val="LineBottom"/>
      </w:pPr>
    </w:p>
    <w:p w:rsidR="00AE1980" w:rsidRPr="00C47EC4" w:rsidRDefault="00AE1980" w:rsidP="00AE1980">
      <w:pPr>
        <w:pStyle w:val="ATHeading1"/>
      </w:pPr>
      <w:bookmarkStart w:id="0" w:name="TANumber"/>
      <w:r w:rsidRPr="00C47EC4">
        <w:t>P10_TA(2024)00</w:t>
      </w:r>
      <w:r w:rsidR="00F63906">
        <w:t>24</w:t>
      </w:r>
      <w:bookmarkEnd w:id="0"/>
    </w:p>
    <w:p w:rsidR="00AE1980" w:rsidRPr="00C47EC4" w:rsidRDefault="00AE1980" w:rsidP="00AE1980">
      <w:pPr>
        <w:pStyle w:val="ATHeading2"/>
      </w:pPr>
      <w:bookmarkStart w:id="1" w:name="title"/>
      <w:r w:rsidRPr="00C47EC4">
        <w:t>Taisomojo biudžeto Nr. 4/2024 projektas: pajamų (nuosavų išteklių) atnaujinimas ir patikslinimai dėl kai</w:t>
      </w:r>
      <w:r w:rsidR="00752D1F">
        <w:t xml:space="preserve"> </w:t>
      </w:r>
      <w:r w:rsidRPr="00C47EC4">
        <w:t>kurių decentralizuotų agentūrų</w:t>
      </w:r>
      <w:bookmarkEnd w:id="1"/>
    </w:p>
    <w:p w:rsidR="00AE1980" w:rsidRPr="00C47EC4" w:rsidRDefault="00AE1980" w:rsidP="00AE1980">
      <w:pPr>
        <w:rPr>
          <w:i/>
          <w:vanish/>
        </w:rPr>
      </w:pPr>
      <w:r w:rsidRPr="00C47EC4">
        <w:rPr>
          <w:i/>
        </w:rPr>
        <w:fldChar w:fldCharType="begin"/>
      </w:r>
      <w:r w:rsidRPr="00C47EC4">
        <w:rPr>
          <w:i/>
        </w:rPr>
        <w:instrText xml:space="preserve"> TC"(</w:instrText>
      </w:r>
      <w:bookmarkStart w:id="2" w:name="DocNumber"/>
      <w:r w:rsidRPr="00C47EC4">
        <w:rPr>
          <w:i/>
        </w:rPr>
        <w:instrText>A10-0007/2024</w:instrText>
      </w:r>
      <w:bookmarkEnd w:id="2"/>
      <w:r w:rsidRPr="00C47EC4">
        <w:rPr>
          <w:i/>
        </w:rPr>
        <w:instrText xml:space="preserve"> - Pranešėjas: Siegfried Mureşan)"\l3 \n&gt; \* MERGEFORMAT </w:instrText>
      </w:r>
      <w:r w:rsidRPr="00C47EC4">
        <w:rPr>
          <w:i/>
        </w:rPr>
        <w:fldChar w:fldCharType="end"/>
      </w:r>
    </w:p>
    <w:p w:rsidR="00AE1980" w:rsidRPr="00C47EC4" w:rsidRDefault="00AE1980" w:rsidP="00AE1980">
      <w:pPr>
        <w:rPr>
          <w:vanish/>
        </w:rPr>
      </w:pPr>
      <w:bookmarkStart w:id="3" w:name="Commission"/>
      <w:r w:rsidRPr="00C47EC4">
        <w:rPr>
          <w:vanish/>
        </w:rPr>
        <w:t>Biudžeto komitetas</w:t>
      </w:r>
      <w:bookmarkEnd w:id="3"/>
    </w:p>
    <w:p w:rsidR="00AE1980" w:rsidRPr="00C47EC4" w:rsidRDefault="00AE1980" w:rsidP="00AE1980">
      <w:pPr>
        <w:rPr>
          <w:vanish/>
        </w:rPr>
      </w:pPr>
      <w:bookmarkStart w:id="4" w:name="PE"/>
      <w:r w:rsidRPr="00C47EC4">
        <w:rPr>
          <w:vanish/>
        </w:rPr>
        <w:t>PE763.032</w:t>
      </w:r>
      <w:bookmarkEnd w:id="4"/>
    </w:p>
    <w:p w:rsidR="00AE1980" w:rsidRPr="00C47EC4" w:rsidRDefault="00752D1F" w:rsidP="00A44ED6">
      <w:pPr>
        <w:pStyle w:val="ATHeading3"/>
      </w:pPr>
      <w:bookmarkStart w:id="5" w:name="Sujet"/>
      <w:r>
        <w:t xml:space="preserve">2024 m. spalio 22 d. </w:t>
      </w:r>
      <w:r w:rsidR="00AE1980" w:rsidRPr="00C47EC4">
        <w:t xml:space="preserve">Europos Parlamento </w:t>
      </w:r>
      <w:r>
        <w:t>rezoliucija</w:t>
      </w:r>
      <w:r w:rsidR="00AE1980" w:rsidRPr="00C47EC4">
        <w:t xml:space="preserve"> dėl Tarybos pozicijos dėl 2024 finansinių metų Europos Sąjungos taisomojo biudžeto Nr. 4/2024 projekto – Pajamų (nuosavų išteklių) atnaujinimas ir patikslinimai dėl kai kurių decentralizuotų agentūrų</w:t>
      </w:r>
      <w:bookmarkEnd w:id="5"/>
      <w:r w:rsidR="00AE1980" w:rsidRPr="00C47EC4">
        <w:t xml:space="preserve"> </w:t>
      </w:r>
      <w:bookmarkStart w:id="6" w:name="References"/>
      <w:r w:rsidR="00AE1980" w:rsidRPr="00C47EC4">
        <w:t>(13195/2024 – C10-0109/2024 – 2024/0185(BUD))</w:t>
      </w:r>
      <w:bookmarkEnd w:id="6"/>
    </w:p>
    <w:p w:rsidR="00EC1F54" w:rsidRPr="00C47EC4" w:rsidRDefault="00EC1F54" w:rsidP="00EC1F54">
      <w:pPr>
        <w:pStyle w:val="EPComma"/>
      </w:pPr>
      <w:bookmarkStart w:id="7" w:name="TextBodyBegin"/>
      <w:bookmarkEnd w:id="7"/>
      <w:r w:rsidRPr="00C47EC4">
        <w:rPr>
          <w:i/>
        </w:rPr>
        <w:t>Europos Parlamentas</w:t>
      </w:r>
      <w:r w:rsidRPr="00C47EC4">
        <w:t>,</w:t>
      </w:r>
    </w:p>
    <w:p w:rsidR="00EC1F54" w:rsidRPr="00C47EC4" w:rsidRDefault="00EC1F54" w:rsidP="00EC1F54">
      <w:pPr>
        <w:pStyle w:val="NormalHanging12a"/>
      </w:pPr>
      <w:r w:rsidRPr="00C47EC4">
        <w:t>–</w:t>
      </w:r>
      <w:r w:rsidRPr="00C47EC4">
        <w:tab/>
        <w:t>atsižvelgdamas į Sutarties dėl Europos Sąjungos veikimo 314 straipsnį,</w:t>
      </w:r>
    </w:p>
    <w:p w:rsidR="00EC1F54" w:rsidRPr="00C47EC4" w:rsidRDefault="00EC1F54" w:rsidP="00EC1F54">
      <w:pPr>
        <w:pStyle w:val="NormalHanging12a"/>
      </w:pPr>
      <w:r w:rsidRPr="00C47EC4">
        <w:t>–</w:t>
      </w:r>
      <w:r w:rsidRPr="00C47EC4">
        <w:tab/>
        <w:t>atsižvelgdamas į Europos atominės energijos bendrijos steigimo sutarties 106a straipsnį,</w:t>
      </w:r>
    </w:p>
    <w:p w:rsidR="00EC1F54" w:rsidRPr="00C47EC4" w:rsidRDefault="00EC1F54" w:rsidP="00EC1F54">
      <w:pPr>
        <w:pStyle w:val="NormalHanging12a"/>
      </w:pPr>
      <w:r w:rsidRPr="00C47EC4">
        <w:t>–</w:t>
      </w:r>
      <w:r w:rsidRPr="00C47EC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C47EC4">
        <w:rPr>
          <w:rStyle w:val="FootnoteReference"/>
        </w:rPr>
        <w:footnoteReference w:id="1"/>
      </w:r>
      <w:r w:rsidRPr="00C47EC4">
        <w:t>, ypač į jo 44 straipsnį,</w:t>
      </w:r>
    </w:p>
    <w:p w:rsidR="00EC1F54" w:rsidRPr="00C47EC4" w:rsidRDefault="00EC1F54" w:rsidP="00EC1F54">
      <w:pPr>
        <w:pStyle w:val="NormalHanging12a"/>
      </w:pPr>
      <w:r w:rsidRPr="00C47EC4">
        <w:t>–</w:t>
      </w:r>
      <w:r w:rsidRPr="00C47EC4">
        <w:tab/>
        <w:t>atsižvelgdamas į 2024 m. rugsėjo 23 d. Europos Parlamento ir Tarybos reglamentą (ES, Euratomas)</w:t>
      </w:r>
      <w:bookmarkStart w:id="8" w:name="_GoBack"/>
      <w:bookmarkEnd w:id="8"/>
      <w:r w:rsidRPr="00C47EC4">
        <w:t> 2024/2509 dėl Sąjungos bendrajam biudžetui taikomų finansinių taisyklių</w:t>
      </w:r>
      <w:r w:rsidRPr="00C47EC4">
        <w:rPr>
          <w:rStyle w:val="FootnoteReference"/>
        </w:rPr>
        <w:footnoteReference w:id="2"/>
      </w:r>
      <w:r w:rsidRPr="00C47EC4">
        <w:t>, ypač į jo 44 straipsnį,</w:t>
      </w:r>
    </w:p>
    <w:p w:rsidR="00EC1F54" w:rsidRPr="00C47EC4" w:rsidRDefault="00EC1F54" w:rsidP="00EC1F54">
      <w:pPr>
        <w:pStyle w:val="NormalHanging12a"/>
      </w:pPr>
      <w:r w:rsidRPr="00C47EC4">
        <w:t>–</w:t>
      </w:r>
      <w:r w:rsidRPr="00C47EC4">
        <w:tab/>
        <w:t>atsižvelgdamas į Europos Sąjungos 2024 finansinių metų bendrąjį biudžetą, kuris buvo galutinai priimtas 2023 m. lapkričio 22 d.</w:t>
      </w:r>
      <w:r w:rsidRPr="00C47EC4">
        <w:rPr>
          <w:rStyle w:val="FootnoteReference"/>
        </w:rPr>
        <w:footnoteReference w:id="3"/>
      </w:r>
      <w:r w:rsidRPr="00C47EC4">
        <w:t>,</w:t>
      </w:r>
    </w:p>
    <w:p w:rsidR="00EC1F54" w:rsidRPr="00C47EC4" w:rsidRDefault="00EC1F54" w:rsidP="00EC1F54">
      <w:pPr>
        <w:pStyle w:val="NormalHanging12a"/>
      </w:pPr>
      <w:r w:rsidRPr="00C47EC4">
        <w:t>–</w:t>
      </w:r>
      <w:r w:rsidRPr="00C47EC4">
        <w:tab/>
        <w:t>atsižvelgdamas į 2020 m. gruodžio 17 d. Tarybos reglamentą (ES, Euratomas) 2020/2093, kuriuo nustatoma 2021–2027 m. daugiametė finansinė programa</w:t>
      </w:r>
      <w:r w:rsidRPr="00C47EC4">
        <w:rPr>
          <w:rStyle w:val="FootnoteReference"/>
        </w:rPr>
        <w:footnoteReference w:id="4"/>
      </w:r>
      <w:r w:rsidRPr="00C47EC4">
        <w:t>,</w:t>
      </w:r>
    </w:p>
    <w:p w:rsidR="00EC1F54" w:rsidRPr="00C47EC4" w:rsidRDefault="00EC1F54" w:rsidP="00EC1F54">
      <w:pPr>
        <w:pStyle w:val="NormalHanging12a"/>
      </w:pPr>
      <w:r w:rsidRPr="00C47EC4">
        <w:t>–</w:t>
      </w:r>
      <w:r w:rsidRPr="00C47EC4">
        <w:tab/>
        <w:t xml:space="preserve">atsižvelgdamas į 2020 m. gruodžio 16 d. Europos Parlamento, Tarybos ir Komisijos </w:t>
      </w:r>
      <w:proofErr w:type="spellStart"/>
      <w:r w:rsidRPr="00C47EC4">
        <w:t>tarpinstitucinį</w:t>
      </w:r>
      <w:proofErr w:type="spellEnd"/>
      <w:r w:rsidRPr="00C47EC4">
        <w:t xml:space="preserve"> susitarimą dėl biudžetinės drausmės, bendradarbiavimo biudžeto </w:t>
      </w:r>
      <w:r w:rsidRPr="00C47EC4">
        <w:lastRenderedPageBreak/>
        <w:t>klausimais ir patikimo finansų valdymo, taip pat dėl naujų nuosavų išteklių, įskaitant veiksmų gaires dėl naujų nuosavų išteklių nustatymo</w:t>
      </w:r>
      <w:r w:rsidRPr="00C47EC4">
        <w:rPr>
          <w:rStyle w:val="FootnoteReference"/>
        </w:rPr>
        <w:footnoteReference w:id="5"/>
      </w:r>
      <w:r w:rsidRPr="00C47EC4">
        <w:t>,</w:t>
      </w:r>
    </w:p>
    <w:p w:rsidR="00EC1F54" w:rsidRPr="00C47EC4" w:rsidRDefault="00EC1F54" w:rsidP="00EC1F54">
      <w:pPr>
        <w:pStyle w:val="NormalHanging12a"/>
      </w:pPr>
      <w:r w:rsidRPr="00C47EC4">
        <w:t>–</w:t>
      </w:r>
      <w:r w:rsidRPr="00C47EC4">
        <w:tab/>
        <w:t>atsižvelgdamas į 2020 m. gruodžio 14 d. Tarybos sprendimą (ES, Euratomas) 2020/2053 ES dėl Europos Sąjungos nuosavų išteklių sistemos, kuriuo panaikinamas Sprendimas 2014/335/ES, Euratomas</w:t>
      </w:r>
      <w:r w:rsidRPr="00C47EC4">
        <w:rPr>
          <w:rStyle w:val="FootnoteReference"/>
        </w:rPr>
        <w:footnoteReference w:id="6"/>
      </w:r>
      <w:r w:rsidRPr="00C47EC4">
        <w:t>,</w:t>
      </w:r>
    </w:p>
    <w:p w:rsidR="00EC1F54" w:rsidRPr="00C47EC4" w:rsidRDefault="00EC1F54" w:rsidP="00EC1F54">
      <w:pPr>
        <w:pStyle w:val="NormalHanging12a"/>
      </w:pPr>
      <w:r w:rsidRPr="00C47EC4">
        <w:t>–</w:t>
      </w:r>
      <w:r w:rsidRPr="00C47EC4">
        <w:tab/>
        <w:t>atsižvelgdamas į Taisomojo biudžeto Nr. 4/2024 projektą, kurį Komisija priėmė 2024 m. liepos 19 d. (COM(2024)0931),</w:t>
      </w:r>
    </w:p>
    <w:p w:rsidR="00EC1F54" w:rsidRPr="00C47EC4" w:rsidRDefault="00EC1F54" w:rsidP="00EC1F54">
      <w:pPr>
        <w:pStyle w:val="NormalHanging12a"/>
      </w:pPr>
      <w:r w:rsidRPr="00C47EC4">
        <w:t>–</w:t>
      </w:r>
      <w:r w:rsidRPr="00C47EC4">
        <w:tab/>
        <w:t>atsižvelgdamas į 2024 m. rugsėjo 23 d. priimtą ir 2024 m. rugsėjo 24 d. Europos Parlamentui perduotą Tarybos poziciją dėl Taisomojo biudžeto Nr. 4/2024 projekto (13195/2024 – C10</w:t>
      </w:r>
      <w:r w:rsidRPr="00C47EC4">
        <w:noBreakHyphen/>
        <w:t>0109/2024),</w:t>
      </w:r>
    </w:p>
    <w:p w:rsidR="00EC1F54" w:rsidRPr="00C47EC4" w:rsidRDefault="00EC1F54" w:rsidP="00EC1F54">
      <w:pPr>
        <w:pStyle w:val="NormalHanging12a"/>
      </w:pPr>
      <w:r w:rsidRPr="00C47EC4">
        <w:t>–</w:t>
      </w:r>
      <w:r w:rsidRPr="00C47EC4">
        <w:tab/>
        <w:t>atsižvelgdamas į Darbo tvarkos taisyklių 96 ir 98 straipsnius,</w:t>
      </w:r>
    </w:p>
    <w:p w:rsidR="00EC1F54" w:rsidRPr="00C47EC4" w:rsidRDefault="00EC1F54" w:rsidP="00EC1F54">
      <w:pPr>
        <w:pStyle w:val="NormalHanging12a"/>
      </w:pPr>
      <w:r w:rsidRPr="00C47EC4">
        <w:t>–</w:t>
      </w:r>
      <w:r w:rsidRPr="00C47EC4">
        <w:tab/>
        <w:t>atsižvelgdamas į Biudžeto komiteto pranešimą (A10-0007/2024),</w:t>
      </w:r>
    </w:p>
    <w:p w:rsidR="00EC1F54" w:rsidRPr="00C47EC4" w:rsidRDefault="00EC1F54" w:rsidP="00EC1F54">
      <w:pPr>
        <w:pStyle w:val="NormalHanging12a"/>
      </w:pPr>
      <w:r w:rsidRPr="00C47EC4">
        <w:t>A.</w:t>
      </w:r>
      <w:r w:rsidRPr="00C47EC4">
        <w:tab/>
        <w:t>kadangi pagrindinis Taisomojo biudžeto Nr. 4/2024 projekto tikslas – atnaujinti biudžeto pajamų dalį, kad būtų atsižvelgta į naujausius pokyčius, ir papildomai patikslinti biudžeto išlaidų dalį, susijusią su keliomis decentralizuotomis agentūromis,</w:t>
      </w:r>
    </w:p>
    <w:p w:rsidR="00EC1F54" w:rsidRPr="00C47EC4" w:rsidRDefault="00EC1F54" w:rsidP="00EC1F54">
      <w:pPr>
        <w:pStyle w:val="NormalHanging12a"/>
      </w:pPr>
      <w:r w:rsidRPr="00C47EC4">
        <w:t>B.</w:t>
      </w:r>
      <w:r w:rsidRPr="00C47EC4">
        <w:tab/>
        <w:t>kadangi Taisomojo biudžeto Nr. 4/2024 projekte numatytas šių nuosavų išteklių prognozių tikslinimas: susijusių su muitais, kurie yra 18,3 proc. mažesni nei 2023 m. gegužės mėn. prognozė, susijusių su neapribota PVM baze, kuri yra 0,6 proc. mažesnė nei 2023 m. gegužės mėn. prognozė, susijusių su neperdirbtomis plastiko pakuočių atliekomis, kurių padaugėjo 0,6 proc., palyginti su 2023 m. gegužės mėn. prognoze, ir susijusių su bendra ES BNP baze, kuri yra 0,3 proc. didesnė nei 2023 m. gegužės mėn. prognozė;</w:t>
      </w:r>
    </w:p>
    <w:p w:rsidR="00EC1F54" w:rsidRPr="00C47EC4" w:rsidRDefault="00EC1F54" w:rsidP="00EC1F54">
      <w:pPr>
        <w:pStyle w:val="NormalHanging12a"/>
      </w:pPr>
      <w:r w:rsidRPr="00C47EC4">
        <w:t>C.</w:t>
      </w:r>
      <w:r w:rsidRPr="00C47EC4">
        <w:tab/>
        <w:t>kadangi Taisomojo biudžeto Nr. 4/2024 projekte taip pat atnaujinamas 2024 m. Jungtinės Karalystės įnašas pagal Susitarimą dėl išstojimo, kuris siekia 2,38 mlrd. EUR, t. y. gerokai, 1,52 mlrd. EUR, mažesnis, palyginti su į 2024 m. biudžetą įtraukta sąmata; kadangi Taisomojo biudžeto Nr. 4/2024 projekte taip pat atsižvelgiama į iki 2024 m. gegužės mėn. pabaigos surinktas baudas ir delspinigius, dėl kurių pradinė 2024 m. biudžeto baudų ir delspinigių prognozė padidėja 513 mln. EUR,</w:t>
      </w:r>
    </w:p>
    <w:p w:rsidR="00EC1F54" w:rsidRPr="00C47EC4" w:rsidRDefault="00EC1F54" w:rsidP="00EC1F54">
      <w:pPr>
        <w:pStyle w:val="NormalHanging12a"/>
      </w:pPr>
      <w:r w:rsidRPr="00C47EC4">
        <w:t>D.</w:t>
      </w:r>
      <w:r w:rsidRPr="00C47EC4">
        <w:tab/>
        <w:t>kadangi Taisomojo biudžeto Nr. 4/2024 projekte siūloma atlikti keletą decentralizuotų agentūrų finansavimo patikslinimų, numatant bendrą grynąjį 12 mln. EUR finansavimo padidinimą ir pasiūlymą mobilizuoti 13,2 mln. EUR lankstumo priemonės lėšų siekiant padengti didesnį Europos vaistų agentūros ir Eurojusto finansavimą, kadangi pagal daugiametės finansinės programos (DFP) 2b išlaidų kategoriją nėra jokios maržos,</w:t>
      </w:r>
    </w:p>
    <w:p w:rsidR="00EC1F54" w:rsidRPr="00C47EC4" w:rsidRDefault="00EC1F54" w:rsidP="00EC1F54">
      <w:pPr>
        <w:pStyle w:val="NormalHanging12a"/>
      </w:pPr>
      <w:r w:rsidRPr="00C47EC4">
        <w:t>1.</w:t>
      </w:r>
      <w:r w:rsidRPr="00C47EC4">
        <w:tab/>
        <w:t>palankiai vertina Komisijos pateiktą Taisomojo biudžeto Nr. 4/2024 projektą;</w:t>
      </w:r>
    </w:p>
    <w:p w:rsidR="00EC1F54" w:rsidRPr="00C47EC4" w:rsidRDefault="00EC1F54" w:rsidP="00EC1F54">
      <w:pPr>
        <w:pStyle w:val="NormalHanging12a"/>
        <w:rPr>
          <w:bCs/>
          <w:iCs/>
          <w:szCs w:val="24"/>
        </w:rPr>
      </w:pPr>
      <w:r w:rsidRPr="00C47EC4">
        <w:t>2.</w:t>
      </w:r>
      <w:r w:rsidRPr="00C47EC4">
        <w:tab/>
        <w:t xml:space="preserve">atkreipia dėmesį į tai, kad dėl nuosavų išteklių, išskyrus BNP, sumos (visų pirma susijusios su muitais) ir Jungtinės Karalystės įnašo į biudžetą dydžio sumažėjimo BNP pagrįsti įnašai padidėja 5,63 mlrd. EUR; pažymi, kad pradinės muitų ir Jungtinės Karalystės įnašo prognozės labai skiriasi nuo esamo rezultato, ir ragina Komisiją </w:t>
      </w:r>
      <w:r w:rsidRPr="00C47EC4">
        <w:lastRenderedPageBreak/>
        <w:t xml:space="preserve">išnagrinėti galimybes pagerinti jos prognozavimo veiklą, nes tai labai svarbu biudžeto planavimo nuspėjamumo požiūriu; </w:t>
      </w:r>
    </w:p>
    <w:p w:rsidR="00EC1F54" w:rsidRPr="00C47EC4" w:rsidRDefault="00EC1F54" w:rsidP="00EC1F54">
      <w:pPr>
        <w:pStyle w:val="NormalHanging12a"/>
      </w:pPr>
      <w:r w:rsidRPr="00C47EC4">
        <w:t>3.</w:t>
      </w:r>
      <w:r w:rsidRPr="00C47EC4">
        <w:tab/>
        <w:t>pabrėžia, kad pagal Taisomojo biudžeto Nr. 4/2024 projektą penkių paramą gaunančių valstybių narių BNP pagrįstų įnašų bendras sumažinimas siekia šiek tiek mažiau nei 5,4 mlrd. EUR grynąja verte; pabrėžia, kad šios nuolaidos yra daromos atsižvelgiant į infliaciją ir todėl didėjo greičiau nei DFP viršutinės ribos, kurios kasmet koreguojamos remiantis 2 proc. defliatoriumi; atkreipia dėmesį į tai, kad dėl šio neatitikimo didesnė našta tenka kitoms valstybėms narėms;</w:t>
      </w:r>
    </w:p>
    <w:p w:rsidR="00EC1F54" w:rsidRPr="00C47EC4" w:rsidRDefault="00EC1F54" w:rsidP="00EC1F54">
      <w:pPr>
        <w:pStyle w:val="NormalHanging12a"/>
      </w:pPr>
      <w:r w:rsidRPr="00C47EC4">
        <w:t>4.</w:t>
      </w:r>
      <w:r w:rsidRPr="00C47EC4">
        <w:tab/>
        <w:t>pabrėžia tvarių pajamų poreikį Sąjungos biudžetui, iš kurio pastaraisiais metais buvo vis sunkiau reaguoti į įvairias krizes; todėl apgailestauja, kad Taryboje nepadaryta pažangos dėl nuosavų išteklių sistemos reformos pagal Tarpinstituciniame susitarime pateiktas veiksmų gaires;</w:t>
      </w:r>
      <w:r w:rsidRPr="00C47EC4">
        <w:rPr>
          <w:color w:val="1E1E1F"/>
          <w:shd w:val="clear" w:color="auto" w:fill="FFFFFF"/>
        </w:rPr>
        <w:t xml:space="preserve"> </w:t>
      </w:r>
      <w:r w:rsidRPr="00C47EC4">
        <w:t>primena savo poziciją, kuria remiami iš dalies pakeisti Komisijos pasiūlymai, ir primygtinai ragina Tarybą ir valstybes nares skubiai priimti šiuos pasiūlymus, kad būtų padidinti Sąjungos biudžeto nuosavi ištekliai; primena savo ilgalaikę poziciją, kad baudos ir mokesčiai turėtų būti naudojami kaip papildomos Sąjungos biudžeto pajamos;</w:t>
      </w:r>
    </w:p>
    <w:p w:rsidR="00EC1F54" w:rsidRPr="00C47EC4" w:rsidRDefault="00EC1F54" w:rsidP="00EC1F54">
      <w:pPr>
        <w:pStyle w:val="NormalHanging12a"/>
      </w:pPr>
      <w:r w:rsidRPr="00C47EC4">
        <w:t>5.</w:t>
      </w:r>
      <w:r w:rsidRPr="00C47EC4">
        <w:tab/>
        <w:t>pakartoja savo ilgalaikę poziciją, kad naujiems prioritetams reikia naujų lėšų; atkreipia dėmesį į nemažą skaičių decentralizuotų agentūrų biudžetų patikslinimų, visų pirma atsižvelgiant į užduotis, kurios joms pavestos pagal neseniai priimtus teisės aktus; primena, kad agentūros turi būti aprūpintos reikiamais darbuotojais ir lėšomis, kad galėtų tinkamai vykdyti savo įgaliojimus; apgailestauja, kad kai kuriais atvejais paskyrus papildomų išteklių decentralizuotai agentūrai atitinkamai sumažinamas programos paketas;</w:t>
      </w:r>
    </w:p>
    <w:p w:rsidR="00EC1F54" w:rsidRPr="00C47EC4" w:rsidRDefault="00EC1F54" w:rsidP="00EC1F54">
      <w:pPr>
        <w:pStyle w:val="NormalHanging12a"/>
      </w:pPr>
      <w:r w:rsidRPr="00C47EC4">
        <w:t>6.</w:t>
      </w:r>
      <w:r w:rsidRPr="00C47EC4">
        <w:tab/>
        <w:t>apgailestauja, kad dabartinėje DFP bendra 1,5 mlrd. EUR suma iki šiol buvo arba yra siūloma perskirstyti iš programų, skirtų decentralizuotoms agentūroms; pabrėžia, kad perskirstymų mastas rodo, jog Sąjungos biudžetui skiriami nepakankami ištekliai, ir pabrėžia, kad reikia užtikrinti biudžeto lankstumą, kad agentūrų ištekliai būtų koreguojami atsižvelgiant į jų įgaliojimų ir užduočių pokyčius DFP laikotarpiu;</w:t>
      </w:r>
    </w:p>
    <w:p w:rsidR="00EC1F54" w:rsidRPr="00C47EC4" w:rsidRDefault="00EC1F54" w:rsidP="00EC1F54">
      <w:pPr>
        <w:pStyle w:val="NormalHanging12a"/>
      </w:pPr>
      <w:r w:rsidRPr="00C47EC4">
        <w:t>7.</w:t>
      </w:r>
      <w:r w:rsidRPr="00C47EC4">
        <w:tab/>
        <w:t>pažymi, kad Taisomojo biudžeto Nr. 4/2024 projekte dėl infliacinio spaudimo numatyta 2 mln. EUR padidinti Eurojusto finansavimą; pabrėžia, kad infliacinis spaudimas neabejotinai yra iššūkis visoms decentralizuotoms agentūroms, atsižvelgiant į tai, jog infliacija viršija metinį 2 proc. defliatorių, kuriuo didinamos DFP viršutinės ribos, ir į dėl to patiriamą didelį spaudimą decentralizuotų agentūrų personalo ir veiklos išlaidoms; mano, kad, Komisijai rengiantis DFP po 2027 m. sudarymui reikia toliau svarstyti dabartinio decentralizuotų agentūrų biudžetų traktavimo atskirai nuo administracinių išlaidų pagal DFP 7 išlaidų kategoriją klausimą;</w:t>
      </w:r>
    </w:p>
    <w:p w:rsidR="00EC1F54" w:rsidRPr="00C47EC4" w:rsidRDefault="00EC1F54" w:rsidP="00EC1F54">
      <w:pPr>
        <w:pStyle w:val="NormalHanging12a"/>
      </w:pPr>
      <w:r w:rsidRPr="00C47EC4">
        <w:t>8.</w:t>
      </w:r>
      <w:r w:rsidRPr="00C47EC4">
        <w:tab/>
        <w:t>pritaria Tarybos pozicijai dėl Taisomojo biudžeto Nr. 4/2024 projekto;</w:t>
      </w:r>
    </w:p>
    <w:p w:rsidR="00EC1F54" w:rsidRPr="00C47EC4" w:rsidRDefault="00EC1F54" w:rsidP="00EC1F54">
      <w:pPr>
        <w:pStyle w:val="NormalHanging12a"/>
      </w:pPr>
      <w:r w:rsidRPr="00C47EC4">
        <w:t>9.</w:t>
      </w:r>
      <w:r w:rsidRPr="00C47EC4">
        <w:tab/>
        <w:t xml:space="preserve">paveda Pirmininkei paskelbti, kad Taisomasis biudžetas Nr. 4/2024 yra galutinai priimtas, ir pasirūpinti, kad jis būtų paskelbtas </w:t>
      </w:r>
      <w:r w:rsidRPr="00C47EC4">
        <w:rPr>
          <w:i/>
        </w:rPr>
        <w:t>Europos Sąjungos oficialiajame leidinyje</w:t>
      </w:r>
      <w:r w:rsidRPr="00C47EC4">
        <w:t>;</w:t>
      </w:r>
    </w:p>
    <w:p w:rsidR="00EC1F54" w:rsidRPr="00C47EC4" w:rsidRDefault="00EC1F54" w:rsidP="00A44ED6">
      <w:pPr>
        <w:pStyle w:val="NormalHanging12a"/>
      </w:pPr>
      <w:r w:rsidRPr="00C47EC4">
        <w:t>10.</w:t>
      </w:r>
      <w:r w:rsidRPr="00C47EC4">
        <w:tab/>
        <w:t>paveda Pirmininkei perduoti šią rezoliuciją Tarybai, Komisijai, kitoms susijusioms institucijoms ir įstaigoms ir nacionaliniams parlamentams.</w:t>
      </w:r>
    </w:p>
    <w:p w:rsidR="00E365E1" w:rsidRPr="00C47EC4" w:rsidRDefault="00E365E1" w:rsidP="00AE1980">
      <w:bookmarkStart w:id="9" w:name="TextBodyEnd"/>
      <w:bookmarkEnd w:id="9"/>
    </w:p>
    <w:sectPr w:rsidR="00E365E1" w:rsidRPr="00C47EC4" w:rsidSect="00C47EC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980" w:rsidRPr="00C47EC4" w:rsidRDefault="00AE1980">
      <w:r w:rsidRPr="00C47EC4">
        <w:separator/>
      </w:r>
    </w:p>
  </w:endnote>
  <w:endnote w:type="continuationSeparator" w:id="0">
    <w:p w:rsidR="00AE1980" w:rsidRPr="00C47EC4" w:rsidRDefault="00AE1980">
      <w:r w:rsidRPr="00C47E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980" w:rsidRPr="00C47EC4" w:rsidRDefault="00AE1980">
      <w:r w:rsidRPr="00C47EC4">
        <w:separator/>
      </w:r>
    </w:p>
  </w:footnote>
  <w:footnote w:type="continuationSeparator" w:id="0">
    <w:p w:rsidR="00AE1980" w:rsidRPr="00C47EC4" w:rsidRDefault="00AE1980">
      <w:r w:rsidRPr="00C47EC4">
        <w:continuationSeparator/>
      </w:r>
    </w:p>
  </w:footnote>
  <w:footnote w:id="1">
    <w:p w:rsidR="00EC1F54" w:rsidRPr="00C47EC4" w:rsidRDefault="00EC1F54" w:rsidP="00C47EC4">
      <w:pPr>
        <w:pStyle w:val="FootnoteText"/>
        <w:ind w:left="567" w:hanging="567"/>
        <w:rPr>
          <w:sz w:val="24"/>
          <w:lang w:val="lt-LT"/>
        </w:rPr>
      </w:pPr>
      <w:r w:rsidRPr="00C47EC4">
        <w:rPr>
          <w:rStyle w:val="FootnoteReference"/>
          <w:sz w:val="24"/>
          <w:lang w:val="lt-LT"/>
        </w:rPr>
        <w:footnoteRef/>
      </w:r>
      <w:r w:rsidR="00C47EC4" w:rsidRPr="00C47EC4">
        <w:rPr>
          <w:sz w:val="24"/>
          <w:lang w:val="lt-LT"/>
        </w:rPr>
        <w:t xml:space="preserve"> </w:t>
      </w:r>
      <w:r w:rsidR="00C47EC4" w:rsidRPr="00C47EC4">
        <w:rPr>
          <w:sz w:val="24"/>
          <w:lang w:val="lt-LT"/>
        </w:rPr>
        <w:tab/>
      </w:r>
      <w:r w:rsidRPr="00C47EC4">
        <w:rPr>
          <w:sz w:val="24"/>
          <w:lang w:val="lt-LT"/>
        </w:rPr>
        <w:t xml:space="preserve">OL L 193, 2018 7 30, p. 1, ELI: </w:t>
      </w:r>
      <w:hyperlink r:id="rId1" w:history="1">
        <w:r w:rsidRPr="00C47EC4">
          <w:rPr>
            <w:rStyle w:val="Hyperlink"/>
            <w:sz w:val="24"/>
            <w:lang w:val="lt-LT"/>
          </w:rPr>
          <w:t>http://data.europa.eu/eli/reg/2018/1046/oj</w:t>
        </w:r>
      </w:hyperlink>
      <w:r w:rsidRPr="00C47EC4">
        <w:rPr>
          <w:sz w:val="24"/>
          <w:lang w:val="lt-LT"/>
        </w:rPr>
        <w:t>.</w:t>
      </w:r>
    </w:p>
  </w:footnote>
  <w:footnote w:id="2">
    <w:p w:rsidR="00EC1F54" w:rsidRPr="00C47EC4" w:rsidRDefault="00EC1F54" w:rsidP="00C47EC4">
      <w:pPr>
        <w:pStyle w:val="FootnoteText"/>
        <w:ind w:left="567" w:hanging="567"/>
        <w:rPr>
          <w:sz w:val="24"/>
          <w:lang w:val="lt-LT"/>
        </w:rPr>
      </w:pPr>
      <w:r w:rsidRPr="00C47EC4">
        <w:rPr>
          <w:rStyle w:val="FootnoteReference"/>
          <w:sz w:val="24"/>
          <w:lang w:val="lt-LT"/>
        </w:rPr>
        <w:footnoteRef/>
      </w:r>
      <w:r w:rsidR="00C47EC4" w:rsidRPr="00C47EC4">
        <w:rPr>
          <w:sz w:val="24"/>
          <w:lang w:val="lt-LT"/>
        </w:rPr>
        <w:t xml:space="preserve"> </w:t>
      </w:r>
      <w:r w:rsidR="00C47EC4" w:rsidRPr="00C47EC4">
        <w:rPr>
          <w:sz w:val="24"/>
          <w:lang w:val="lt-LT"/>
        </w:rPr>
        <w:tab/>
      </w:r>
      <w:r w:rsidRPr="00C47EC4">
        <w:rPr>
          <w:sz w:val="24"/>
          <w:lang w:val="lt-LT"/>
        </w:rPr>
        <w:t xml:space="preserve">OL L, 2024/2509, 2024 9 26, ELI: </w:t>
      </w:r>
      <w:hyperlink r:id="rId2" w:history="1">
        <w:r w:rsidRPr="00C47EC4">
          <w:rPr>
            <w:rStyle w:val="Hyperlink"/>
            <w:sz w:val="24"/>
            <w:lang w:val="lt-LT"/>
          </w:rPr>
          <w:t>http://data.europa.eu/eli/reg/2024/2509/oj</w:t>
        </w:r>
      </w:hyperlink>
      <w:r w:rsidRPr="00C47EC4">
        <w:rPr>
          <w:sz w:val="24"/>
          <w:lang w:val="lt-LT"/>
        </w:rPr>
        <w:t>.</w:t>
      </w:r>
    </w:p>
  </w:footnote>
  <w:footnote w:id="3">
    <w:p w:rsidR="00EC1F54" w:rsidRPr="00C47EC4" w:rsidRDefault="00EC1F54" w:rsidP="00C47EC4">
      <w:pPr>
        <w:pStyle w:val="FootnoteText"/>
        <w:ind w:left="567" w:hanging="567"/>
        <w:rPr>
          <w:sz w:val="24"/>
          <w:lang w:val="lt-LT"/>
        </w:rPr>
      </w:pPr>
      <w:r w:rsidRPr="00C47EC4">
        <w:rPr>
          <w:rStyle w:val="FootnoteReference"/>
          <w:sz w:val="24"/>
          <w:lang w:val="lt-LT"/>
        </w:rPr>
        <w:footnoteRef/>
      </w:r>
      <w:r w:rsidR="00C47EC4" w:rsidRPr="00C47EC4">
        <w:rPr>
          <w:sz w:val="24"/>
          <w:lang w:val="lt-LT"/>
        </w:rPr>
        <w:t xml:space="preserve"> </w:t>
      </w:r>
      <w:r w:rsidR="00C47EC4" w:rsidRPr="00C47EC4">
        <w:rPr>
          <w:sz w:val="24"/>
          <w:lang w:val="lt-LT"/>
        </w:rPr>
        <w:tab/>
      </w:r>
      <w:r w:rsidRPr="00C47EC4">
        <w:rPr>
          <w:sz w:val="24"/>
          <w:lang w:val="lt-LT"/>
        </w:rPr>
        <w:t xml:space="preserve">OL L, 2024/207, 2024 2 22, ELI: </w:t>
      </w:r>
      <w:hyperlink r:id="rId3" w:history="1">
        <w:r w:rsidRPr="00C47EC4">
          <w:rPr>
            <w:rStyle w:val="Hyperlink"/>
            <w:sz w:val="24"/>
            <w:lang w:val="lt-LT"/>
          </w:rPr>
          <w:t>http://data.europa.eu/eli/budget/2024/207/oj</w:t>
        </w:r>
      </w:hyperlink>
      <w:r w:rsidRPr="00C47EC4">
        <w:rPr>
          <w:sz w:val="24"/>
          <w:lang w:val="lt-LT"/>
        </w:rPr>
        <w:t>.</w:t>
      </w:r>
    </w:p>
  </w:footnote>
  <w:footnote w:id="4">
    <w:p w:rsidR="00EC1F54" w:rsidRPr="00C47EC4" w:rsidRDefault="00EC1F54" w:rsidP="00C47EC4">
      <w:pPr>
        <w:pStyle w:val="FootnoteText"/>
        <w:ind w:left="567" w:hanging="567"/>
        <w:rPr>
          <w:sz w:val="24"/>
          <w:lang w:val="lt-LT"/>
        </w:rPr>
      </w:pPr>
      <w:r w:rsidRPr="00C47EC4">
        <w:rPr>
          <w:rStyle w:val="FootnoteReference"/>
          <w:sz w:val="24"/>
          <w:lang w:val="lt-LT"/>
        </w:rPr>
        <w:footnoteRef/>
      </w:r>
      <w:r w:rsidR="00C47EC4" w:rsidRPr="00C47EC4">
        <w:rPr>
          <w:sz w:val="24"/>
          <w:lang w:val="lt-LT"/>
        </w:rPr>
        <w:t xml:space="preserve"> </w:t>
      </w:r>
      <w:r w:rsidR="00C47EC4" w:rsidRPr="00C47EC4">
        <w:rPr>
          <w:sz w:val="24"/>
          <w:lang w:val="lt-LT"/>
        </w:rPr>
        <w:tab/>
      </w:r>
      <w:r w:rsidRPr="00C47EC4">
        <w:rPr>
          <w:sz w:val="24"/>
          <w:lang w:val="lt-LT"/>
        </w:rPr>
        <w:t xml:space="preserve">OL L 433 I, 2020 12 22, p. 11, ELI: </w:t>
      </w:r>
      <w:hyperlink r:id="rId4" w:history="1">
        <w:r w:rsidRPr="00C47EC4">
          <w:rPr>
            <w:rStyle w:val="Hyperlink"/>
            <w:sz w:val="24"/>
            <w:lang w:val="lt-LT"/>
          </w:rPr>
          <w:t>http://data.europa.eu/eli/reg/2020/2093/oj</w:t>
        </w:r>
      </w:hyperlink>
      <w:r w:rsidRPr="00C47EC4">
        <w:rPr>
          <w:sz w:val="24"/>
          <w:lang w:val="lt-LT"/>
        </w:rPr>
        <w:t>.</w:t>
      </w:r>
    </w:p>
  </w:footnote>
  <w:footnote w:id="5">
    <w:p w:rsidR="00EC1F54" w:rsidRPr="00C47EC4" w:rsidRDefault="00EC1F54" w:rsidP="00C47EC4">
      <w:pPr>
        <w:pStyle w:val="FootnoteText"/>
        <w:ind w:left="567" w:hanging="567"/>
        <w:rPr>
          <w:sz w:val="24"/>
          <w:lang w:val="lt-LT"/>
        </w:rPr>
      </w:pPr>
      <w:r w:rsidRPr="00C47EC4">
        <w:rPr>
          <w:rStyle w:val="FootnoteReference"/>
          <w:sz w:val="24"/>
          <w:lang w:val="lt-LT"/>
        </w:rPr>
        <w:footnoteRef/>
      </w:r>
      <w:r w:rsidR="00C47EC4" w:rsidRPr="00C47EC4">
        <w:rPr>
          <w:sz w:val="24"/>
          <w:lang w:val="lt-LT"/>
        </w:rPr>
        <w:t xml:space="preserve"> </w:t>
      </w:r>
      <w:r w:rsidR="00C47EC4" w:rsidRPr="00C47EC4">
        <w:rPr>
          <w:sz w:val="24"/>
          <w:lang w:val="lt-LT"/>
        </w:rPr>
        <w:tab/>
      </w:r>
      <w:r w:rsidRPr="00C47EC4">
        <w:rPr>
          <w:sz w:val="24"/>
          <w:lang w:val="lt-LT"/>
        </w:rPr>
        <w:t xml:space="preserve">OL L 433 I, 2020 12 22, p. 28, ELI: </w:t>
      </w:r>
      <w:hyperlink r:id="rId5" w:history="1">
        <w:r w:rsidRPr="00C47EC4">
          <w:rPr>
            <w:rStyle w:val="Hyperlink"/>
            <w:sz w:val="24"/>
            <w:lang w:val="lt-LT"/>
          </w:rPr>
          <w:t>http://data.europa.eu/eli/agree_interinstit/2020/1222/oj</w:t>
        </w:r>
      </w:hyperlink>
      <w:r w:rsidRPr="00C47EC4">
        <w:rPr>
          <w:sz w:val="24"/>
          <w:lang w:val="lt-LT"/>
        </w:rPr>
        <w:t>.</w:t>
      </w:r>
    </w:p>
  </w:footnote>
  <w:footnote w:id="6">
    <w:p w:rsidR="00EC1F54" w:rsidRPr="00C47EC4" w:rsidRDefault="00EC1F54" w:rsidP="00C47EC4">
      <w:pPr>
        <w:pStyle w:val="FootnoteText"/>
        <w:ind w:left="567" w:hanging="567"/>
        <w:rPr>
          <w:sz w:val="24"/>
          <w:lang w:val="lt-LT"/>
        </w:rPr>
      </w:pPr>
      <w:r w:rsidRPr="00C47EC4">
        <w:rPr>
          <w:rStyle w:val="FootnoteReference"/>
          <w:sz w:val="24"/>
          <w:lang w:val="lt-LT"/>
        </w:rPr>
        <w:footnoteRef/>
      </w:r>
      <w:r w:rsidR="00C47EC4" w:rsidRPr="00C47EC4">
        <w:rPr>
          <w:sz w:val="24"/>
          <w:lang w:val="lt-LT"/>
        </w:rPr>
        <w:t xml:space="preserve"> </w:t>
      </w:r>
      <w:r w:rsidR="00C47EC4" w:rsidRPr="00C47EC4">
        <w:rPr>
          <w:sz w:val="24"/>
          <w:lang w:val="lt-LT"/>
        </w:rPr>
        <w:tab/>
      </w:r>
      <w:r w:rsidRPr="00C47EC4">
        <w:rPr>
          <w:sz w:val="24"/>
          <w:lang w:val="lt-LT"/>
        </w:rPr>
        <w:t xml:space="preserve">OL L 424, 2020 12 15, p. 1, ELI: </w:t>
      </w:r>
      <w:hyperlink r:id="rId6" w:history="1">
        <w:r w:rsidRPr="00C47EC4">
          <w:rPr>
            <w:rStyle w:val="Hyperlink"/>
            <w:sz w:val="24"/>
            <w:lang w:val="lt-LT"/>
          </w:rPr>
          <w:t>http://data.europa.eu/eli/dec/2020/2053/oj</w:t>
        </w:r>
      </w:hyperlink>
      <w:r w:rsidRPr="00C47EC4">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LT"/>
    <w:docVar w:name="dvnumam" w:val="0"/>
    <w:docVar w:name="dvpe" w:val="763.032"/>
    <w:docVar w:name="dvrapporteur" w:val="Pranešėjas: "/>
    <w:docVar w:name="dvtitre" w:val="Europos Parlamento sprendimas dėl Tarybos pozicijos dėl 2024 finansinių metų Europos Sąjungos taisomojo biudžeto Nr. 4/2024 projekto – Pajamų (nuosavų išteklių) atnaujinimas ir patikslinimai dėl kai kurių decentralizuotų agentūrų(13195/2024 – C10-0109/2024 – 2024/0185(BUD))"/>
  </w:docVars>
  <w:rsids>
    <w:rsidRoot w:val="00AE198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2D1F"/>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4ED6"/>
    <w:rsid w:val="00A4678D"/>
    <w:rsid w:val="00A778C7"/>
    <w:rsid w:val="00AB441E"/>
    <w:rsid w:val="00AB6293"/>
    <w:rsid w:val="00AE0928"/>
    <w:rsid w:val="00AE1980"/>
    <w:rsid w:val="00AF3B82"/>
    <w:rsid w:val="00B12E95"/>
    <w:rsid w:val="00B22876"/>
    <w:rsid w:val="00B558F0"/>
    <w:rsid w:val="00BD48FE"/>
    <w:rsid w:val="00BD7BD8"/>
    <w:rsid w:val="00BE6ADC"/>
    <w:rsid w:val="00C05BFE"/>
    <w:rsid w:val="00C15EEF"/>
    <w:rsid w:val="00C23CD4"/>
    <w:rsid w:val="00C47EC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F54"/>
    <w:rsid w:val="00ED169E"/>
    <w:rsid w:val="00ED4235"/>
    <w:rsid w:val="00F04346"/>
    <w:rsid w:val="00F075DC"/>
    <w:rsid w:val="00F149E9"/>
    <w:rsid w:val="00F5134D"/>
    <w:rsid w:val="00F6390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D81251-7750-43E6-82B8-D3F23129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1F54"/>
    <w:pPr>
      <w:spacing w:before="480" w:after="240"/>
    </w:pPr>
  </w:style>
  <w:style w:type="paragraph" w:customStyle="1" w:styleId="NormalHanging12a">
    <w:name w:val="NormalHanging12a"/>
    <w:basedOn w:val="Normal"/>
    <w:rsid w:val="00EC1F54"/>
    <w:pPr>
      <w:spacing w:after="240"/>
      <w:ind w:left="567" w:hanging="567"/>
    </w:pPr>
  </w:style>
  <w:style w:type="character" w:styleId="Hyperlink">
    <w:name w:val="Hyperlink"/>
    <w:basedOn w:val="DefaultParagraphFont"/>
    <w:uiPriority w:val="99"/>
    <w:rsid w:val="00EC1F54"/>
    <w:rPr>
      <w:color w:val="0563C1" w:themeColor="hyperlink"/>
      <w:u w:val="single"/>
    </w:rPr>
  </w:style>
  <w:style w:type="paragraph" w:styleId="BalloonText">
    <w:name w:val="Balloon Text"/>
    <w:basedOn w:val="Normal"/>
    <w:link w:val="BalloonTextChar"/>
    <w:rsid w:val="00752D1F"/>
    <w:rPr>
      <w:rFonts w:ascii="Segoe UI" w:hAnsi="Segoe UI" w:cs="Segoe UI"/>
      <w:sz w:val="18"/>
      <w:szCs w:val="18"/>
    </w:rPr>
  </w:style>
  <w:style w:type="character" w:customStyle="1" w:styleId="BalloonTextChar">
    <w:name w:val="Balloon Text Char"/>
    <w:basedOn w:val="DefaultParagraphFont"/>
    <w:link w:val="BalloonText"/>
    <w:rsid w:val="00752D1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budget/2024/207/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471D6-81F2-4A55-92F7-A290D84F8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1037</Words>
  <Characters>6937</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2024-11-19T17:05:00Z</dcterms:created>
  <dcterms:modified xsi:type="dcterms:W3CDTF">2024-11-19T17:05:00Z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P10_TA(2024)0024_</vt:lpwstr>
  </property>
  <property fmtid="{D5CDD505-2E9C-101B-9397-08002B2CF9AE}" pid="4" name="&lt;Type&gt;">
    <vt:lpwstr>RR</vt:lpwstr>
  </property>
</Properties>
</file>