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072B" w:rsidTr="0010095E">
        <w:trPr>
          <w:trHeight w:hRule="exact" w:val="1418"/>
        </w:trPr>
        <w:tc>
          <w:tcPr>
            <w:tcW w:w="6804" w:type="dxa"/>
            <w:shd w:val="clear" w:color="auto" w:fill="auto"/>
            <w:vAlign w:val="center"/>
          </w:tcPr>
          <w:p w:rsidR="00751A4A" w:rsidRPr="0072072B" w:rsidRDefault="007B45C0" w:rsidP="0010095E">
            <w:pPr>
              <w:pStyle w:val="EPName"/>
            </w:pPr>
            <w:r w:rsidRPr="0072072B">
              <w:t>Eiropas Parlaments</w:t>
            </w:r>
          </w:p>
          <w:p w:rsidR="00751A4A" w:rsidRPr="0072072B" w:rsidRDefault="005F1B17" w:rsidP="005F1B17">
            <w:pPr>
              <w:pStyle w:val="EPTerm"/>
              <w:rPr>
                <w:rStyle w:val="HideTWBExt"/>
                <w:noProof w:val="0"/>
                <w:vanish w:val="0"/>
                <w:color w:val="auto"/>
              </w:rPr>
            </w:pPr>
            <w:r w:rsidRPr="0072072B">
              <w:t>2024</w:t>
            </w:r>
            <w:r w:rsidR="00817416" w:rsidRPr="0072072B">
              <w:t>-202</w:t>
            </w:r>
            <w:r w:rsidRPr="0072072B">
              <w:t>9</w:t>
            </w:r>
          </w:p>
        </w:tc>
        <w:tc>
          <w:tcPr>
            <w:tcW w:w="2268" w:type="dxa"/>
            <w:shd w:val="clear" w:color="auto" w:fill="auto"/>
          </w:tcPr>
          <w:p w:rsidR="00751A4A" w:rsidRPr="0072072B" w:rsidRDefault="00187494" w:rsidP="0010095E">
            <w:pPr>
              <w:pStyle w:val="EPLogo"/>
            </w:pPr>
            <w:r w:rsidRPr="007207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072B" w:rsidRDefault="00D058B8" w:rsidP="004C5D52">
      <w:pPr>
        <w:pStyle w:val="LineTop"/>
      </w:pPr>
    </w:p>
    <w:p w:rsidR="00680577" w:rsidRPr="0072072B" w:rsidRDefault="007B45C0" w:rsidP="00680577">
      <w:pPr>
        <w:pStyle w:val="EPBodyTA1"/>
      </w:pPr>
      <w:r w:rsidRPr="0072072B">
        <w:t>PIEŅEMTIE TEKSTI</w:t>
      </w:r>
    </w:p>
    <w:p w:rsidR="00D058B8" w:rsidRPr="0072072B" w:rsidRDefault="00D058B8" w:rsidP="00D058B8">
      <w:pPr>
        <w:pStyle w:val="LineBottom"/>
      </w:pPr>
    </w:p>
    <w:p w:rsidR="007B45C0" w:rsidRPr="0072072B" w:rsidRDefault="007B45C0" w:rsidP="007B45C0">
      <w:pPr>
        <w:pStyle w:val="ATHeading1"/>
      </w:pPr>
      <w:bookmarkStart w:id="0" w:name="TANumber"/>
      <w:r w:rsidRPr="0072072B">
        <w:t>P10_TA(2024)00</w:t>
      </w:r>
      <w:r w:rsidR="0072072B" w:rsidRPr="0072072B">
        <w:t>24</w:t>
      </w:r>
      <w:bookmarkEnd w:id="0"/>
    </w:p>
    <w:p w:rsidR="007B45C0" w:rsidRPr="0072072B" w:rsidRDefault="007B45C0" w:rsidP="007B45C0">
      <w:pPr>
        <w:pStyle w:val="ATHeading2"/>
      </w:pPr>
      <w:bookmarkStart w:id="1" w:name="title"/>
      <w:r w:rsidRPr="0072072B">
        <w:t>2024. gada vispārējā budžeta grozījuma Nr. 4</w:t>
      </w:r>
      <w:r w:rsidR="00B609E7" w:rsidRPr="0072072B">
        <w:t>/2024</w:t>
      </w:r>
      <w:r w:rsidRPr="0072072B">
        <w:t xml:space="preserve"> projekts: ieņēmumu (pašu resursu) atjauninājums un dažu</w:t>
      </w:r>
      <w:r w:rsidR="006C4E54" w:rsidRPr="0072072B">
        <w:t xml:space="preserve"> </w:t>
      </w:r>
      <w:r w:rsidRPr="0072072B">
        <w:t>decentralizēto aģentūru korekcijas</w:t>
      </w:r>
      <w:bookmarkEnd w:id="1"/>
    </w:p>
    <w:p w:rsidR="007B45C0" w:rsidRPr="0072072B" w:rsidRDefault="007B45C0" w:rsidP="007B45C0">
      <w:pPr>
        <w:rPr>
          <w:i/>
          <w:vanish/>
        </w:rPr>
      </w:pPr>
      <w:r w:rsidRPr="0072072B">
        <w:rPr>
          <w:i/>
        </w:rPr>
        <w:fldChar w:fldCharType="begin"/>
      </w:r>
      <w:r w:rsidRPr="0072072B">
        <w:rPr>
          <w:i/>
        </w:rPr>
        <w:instrText xml:space="preserve"> TC"(</w:instrText>
      </w:r>
      <w:bookmarkStart w:id="2" w:name="DocNumber"/>
      <w:r w:rsidRPr="0072072B">
        <w:rPr>
          <w:i/>
        </w:rPr>
        <w:instrText>A10-0007/2024</w:instrText>
      </w:r>
      <w:bookmarkEnd w:id="2"/>
      <w:r w:rsidRPr="0072072B">
        <w:rPr>
          <w:i/>
        </w:rPr>
        <w:instrText xml:space="preserve"> - Referents: Siegfried Mureşan)"\l3 \n&gt; \* MERGEFORMAT </w:instrText>
      </w:r>
      <w:r w:rsidRPr="0072072B">
        <w:rPr>
          <w:i/>
        </w:rPr>
        <w:fldChar w:fldCharType="end"/>
      </w:r>
    </w:p>
    <w:p w:rsidR="007B45C0" w:rsidRPr="0072072B" w:rsidRDefault="007B45C0" w:rsidP="007B45C0">
      <w:pPr>
        <w:rPr>
          <w:vanish/>
        </w:rPr>
      </w:pPr>
      <w:bookmarkStart w:id="3" w:name="Commission"/>
      <w:r w:rsidRPr="0072072B">
        <w:rPr>
          <w:vanish/>
        </w:rPr>
        <w:t>Budžeta komiteja</w:t>
      </w:r>
      <w:bookmarkEnd w:id="3"/>
    </w:p>
    <w:p w:rsidR="007B45C0" w:rsidRPr="0072072B" w:rsidRDefault="007B45C0" w:rsidP="007B45C0">
      <w:pPr>
        <w:rPr>
          <w:vanish/>
        </w:rPr>
      </w:pPr>
      <w:bookmarkStart w:id="4" w:name="PE"/>
      <w:r w:rsidRPr="0072072B">
        <w:rPr>
          <w:vanish/>
        </w:rPr>
        <w:t>PE763.032</w:t>
      </w:r>
      <w:bookmarkEnd w:id="4"/>
    </w:p>
    <w:p w:rsidR="005E7353" w:rsidRPr="0072072B" w:rsidRDefault="007B45C0" w:rsidP="006C4E54">
      <w:pPr>
        <w:pStyle w:val="ATHeading3"/>
      </w:pPr>
      <w:bookmarkStart w:id="5" w:name="Sujet"/>
      <w:r w:rsidRPr="0072072B">
        <w:t xml:space="preserve">Eiropas Parlamenta 2024. gada </w:t>
      </w:r>
      <w:r w:rsidR="006C4E54" w:rsidRPr="0072072B">
        <w:t>22</w:t>
      </w:r>
      <w:r w:rsidRPr="0072072B">
        <w:t xml:space="preserve">. </w:t>
      </w:r>
      <w:r w:rsidR="006C4E54" w:rsidRPr="0072072B">
        <w:t>oktobra</w:t>
      </w:r>
      <w:r w:rsidRPr="0072072B">
        <w:t xml:space="preserve"> rezolūcija par Padomes nostāju attiecībā uz Eiropas Savienības 2024. finanšu gada budžeta grozījuma Nr. 4/2024 projektu: ieņēmumu (pašu resursu) atjauninājums un dažu decentralizēto aģentūru korekcijas</w:t>
      </w:r>
      <w:bookmarkEnd w:id="5"/>
      <w:r w:rsidRPr="0072072B">
        <w:t xml:space="preserve"> </w:t>
      </w:r>
      <w:bookmarkStart w:id="6" w:name="References"/>
      <w:r w:rsidRPr="0072072B">
        <w:t>(13195/2024 – C10-0109/2024 – 2024/0185(BUD))</w:t>
      </w:r>
      <w:bookmarkStart w:id="7" w:name="TextBodyBegin"/>
      <w:bookmarkEnd w:id="6"/>
      <w:bookmarkEnd w:id="7"/>
    </w:p>
    <w:p w:rsidR="005E7353" w:rsidRPr="0072072B" w:rsidRDefault="005E7353" w:rsidP="005E7353">
      <w:pPr>
        <w:pStyle w:val="EPComma"/>
      </w:pPr>
      <w:r w:rsidRPr="0072072B">
        <w:rPr>
          <w:i/>
        </w:rPr>
        <w:t>Eiropas Parlaments</w:t>
      </w:r>
      <w:r w:rsidRPr="0072072B">
        <w:t>,</w:t>
      </w:r>
    </w:p>
    <w:p w:rsidR="005E7353" w:rsidRPr="0072072B" w:rsidRDefault="005E7353" w:rsidP="005E7353">
      <w:pPr>
        <w:pStyle w:val="NormalHanging12a"/>
      </w:pPr>
      <w:r w:rsidRPr="0072072B">
        <w:t>–</w:t>
      </w:r>
      <w:r w:rsidRPr="0072072B">
        <w:tab/>
        <w:t>ņemot vērā Līguma par Eiropas Savienības darbību 314. pantu,</w:t>
      </w:r>
    </w:p>
    <w:p w:rsidR="005E7353" w:rsidRPr="0072072B" w:rsidRDefault="005E7353" w:rsidP="005E7353">
      <w:pPr>
        <w:pStyle w:val="NormalHanging12a"/>
      </w:pPr>
      <w:r w:rsidRPr="0072072B">
        <w:t>–</w:t>
      </w:r>
      <w:r w:rsidRPr="0072072B">
        <w:tab/>
        <w:t>ņemot vērā Eiropas Atomenerģijas kopienas dibināšanas līguma 106.a pantu,</w:t>
      </w:r>
    </w:p>
    <w:p w:rsidR="005E7353" w:rsidRPr="0072072B" w:rsidRDefault="005E7353" w:rsidP="005E7353">
      <w:pPr>
        <w:pStyle w:val="NormalHanging12a"/>
      </w:pPr>
      <w:r w:rsidRPr="0072072B">
        <w:t>–</w:t>
      </w:r>
      <w:r w:rsidRPr="0072072B">
        <w:tab/>
        <w:t xml:space="preserve">ņemot vērā Eiropas Parlamenta un Padomes 2018. gada 18. jūlija Regulu (ES, </w:t>
      </w:r>
      <w:r w:rsidRPr="0072072B">
        <w:rPr>
          <w:i/>
        </w:rPr>
        <w:t>Euratom</w:t>
      </w:r>
      <w:r w:rsidRPr="0072072B">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2072B">
        <w:rPr>
          <w:i/>
        </w:rPr>
        <w:t>Euratom</w:t>
      </w:r>
      <w:r w:rsidRPr="0072072B">
        <w:t>) Nr. 966/2012</w:t>
      </w:r>
      <w:r w:rsidRPr="0072072B">
        <w:rPr>
          <w:rStyle w:val="FootnoteReference"/>
        </w:rPr>
        <w:footnoteReference w:id="1"/>
      </w:r>
      <w:r w:rsidRPr="0072072B">
        <w:t>, un jo īpaši tās 44. pantu,</w:t>
      </w:r>
    </w:p>
    <w:p w:rsidR="005E7353" w:rsidRPr="0072072B" w:rsidRDefault="005E7353" w:rsidP="005E7353">
      <w:pPr>
        <w:pStyle w:val="NormalHanging12a"/>
      </w:pPr>
      <w:r w:rsidRPr="0072072B">
        <w:t>–</w:t>
      </w:r>
      <w:r w:rsidRPr="0072072B">
        <w:tab/>
        <w:t xml:space="preserve">ņemot vērā Eiropas Parlamenta un Padomes 2024. gada 23. septembra Regulu (ES, </w:t>
      </w:r>
      <w:r w:rsidRPr="0072072B">
        <w:rPr>
          <w:i/>
          <w:iCs/>
        </w:rPr>
        <w:t>Euratom</w:t>
      </w:r>
      <w:r w:rsidRPr="0072072B">
        <w:t>) 2024/2509 par finanšu noteikumiem, ko piemēro Savienības vispārējam budžetam</w:t>
      </w:r>
      <w:r w:rsidRPr="0072072B">
        <w:rPr>
          <w:rStyle w:val="FootnoteReference"/>
        </w:rPr>
        <w:footnoteReference w:id="2"/>
      </w:r>
      <w:r w:rsidRPr="0072072B">
        <w:t>, un jo īpaši tās 44. pantu,</w:t>
      </w:r>
    </w:p>
    <w:p w:rsidR="005E7353" w:rsidRPr="0072072B" w:rsidRDefault="005E7353" w:rsidP="005E7353">
      <w:pPr>
        <w:pStyle w:val="NormalHanging12a"/>
      </w:pPr>
      <w:r w:rsidRPr="0072072B">
        <w:t>–</w:t>
      </w:r>
      <w:r w:rsidRPr="0072072B">
        <w:tab/>
        <w:t>ņemot vērā Eiropas Savienības 2024. finanšu gada vispārējo budžetu, ko galīgajā variantā pieņēma 2023. gada 22. novembrī</w:t>
      </w:r>
      <w:r w:rsidRPr="0072072B">
        <w:rPr>
          <w:rStyle w:val="FootnoteReference"/>
        </w:rPr>
        <w:footnoteReference w:id="3"/>
      </w:r>
      <w:r w:rsidRPr="0072072B">
        <w:t>,</w:t>
      </w:r>
    </w:p>
    <w:p w:rsidR="005E7353" w:rsidRPr="0072072B" w:rsidRDefault="005E7353" w:rsidP="005E7353">
      <w:pPr>
        <w:pStyle w:val="NormalHanging12a"/>
      </w:pPr>
      <w:r w:rsidRPr="0072072B">
        <w:t>–</w:t>
      </w:r>
      <w:r w:rsidRPr="0072072B">
        <w:tab/>
        <w:t xml:space="preserve">ņemot vērā Padomes 2020. gada 17. decembra Regulu (ES, </w:t>
      </w:r>
      <w:r w:rsidRPr="0072072B">
        <w:rPr>
          <w:i/>
          <w:iCs/>
        </w:rPr>
        <w:t>Euratom</w:t>
      </w:r>
      <w:r w:rsidRPr="0072072B">
        <w:t>) 2020/2093, ar ko nosaka daudzgadu finanšu shēmu 2021.–2027. gadam</w:t>
      </w:r>
      <w:r w:rsidRPr="0072072B">
        <w:rPr>
          <w:rStyle w:val="FootnoteReference"/>
        </w:rPr>
        <w:footnoteReference w:id="4"/>
      </w:r>
      <w:r w:rsidRPr="0072072B">
        <w:t>,</w:t>
      </w:r>
    </w:p>
    <w:p w:rsidR="005E7353" w:rsidRPr="0072072B" w:rsidRDefault="005E7353" w:rsidP="005E7353">
      <w:pPr>
        <w:pStyle w:val="NormalHanging12a"/>
      </w:pPr>
      <w:r w:rsidRPr="0072072B">
        <w:t>–</w:t>
      </w:r>
      <w:r w:rsidRPr="0072072B">
        <w:tab/>
        <w:t xml:space="preserve">ņemot vērā 2020. gada 16. decembra Iestāžu nolīgumu starp Eiropas Parlamentu, </w:t>
      </w:r>
      <w:r w:rsidRPr="0072072B">
        <w:lastRenderedPageBreak/>
        <w:t>Eiropas Savienības Padomi un Eiropas Komisiju par budžeta disciplīnu, sadarbību budžeta jautājumos un pareizu finanšu pārvaldību, kā arī par jauniem pašu resursiem, tostarp par ceļvedi jaunu pašu resursu ieviešanai</w:t>
      </w:r>
      <w:r w:rsidRPr="0072072B">
        <w:rPr>
          <w:rStyle w:val="FootnoteReference"/>
        </w:rPr>
        <w:footnoteReference w:id="5"/>
      </w:r>
      <w:r w:rsidRPr="0072072B">
        <w:t>,</w:t>
      </w:r>
    </w:p>
    <w:p w:rsidR="005E7353" w:rsidRPr="0072072B" w:rsidRDefault="005E7353" w:rsidP="005E7353">
      <w:pPr>
        <w:pStyle w:val="NormalHanging12a"/>
      </w:pPr>
      <w:r w:rsidRPr="0072072B">
        <w:t>–</w:t>
      </w:r>
      <w:r w:rsidRPr="0072072B">
        <w:tab/>
        <w:t>ņemot vērā Padomes 2020. gada 14. decembra Lēmumu (ES,</w:t>
      </w:r>
      <w:r w:rsidRPr="0072072B">
        <w:rPr>
          <w:i/>
          <w:iCs/>
        </w:rPr>
        <w:t xml:space="preserve"> Euratom</w:t>
      </w:r>
      <w:r w:rsidRPr="0072072B">
        <w:t xml:space="preserve">) 2020/2053 par Eiropas Savienības pašu resursu sistēmu un ar ko atceļ Lēmumu 2014/335/ES, </w:t>
      </w:r>
      <w:r w:rsidRPr="0072072B">
        <w:rPr>
          <w:i/>
          <w:iCs/>
        </w:rPr>
        <w:t>Euratom</w:t>
      </w:r>
      <w:r w:rsidRPr="0072072B">
        <w:rPr>
          <w:rStyle w:val="FootnoteReference"/>
        </w:rPr>
        <w:footnoteReference w:id="6"/>
      </w:r>
      <w:r w:rsidRPr="0072072B">
        <w:t>,</w:t>
      </w:r>
    </w:p>
    <w:p w:rsidR="005E7353" w:rsidRPr="0072072B" w:rsidRDefault="005E7353" w:rsidP="005E7353">
      <w:pPr>
        <w:pStyle w:val="NormalHanging12a"/>
      </w:pPr>
      <w:r w:rsidRPr="0072072B">
        <w:t>–</w:t>
      </w:r>
      <w:r w:rsidRPr="0072072B">
        <w:tab/>
        <w:t>ņemot vērā budžeta grozījuma Nr. 4/2024 projektu, ko Komisija pieņēma 2024. gada 19. jūlijā (COM(2024)0931),</w:t>
      </w:r>
    </w:p>
    <w:p w:rsidR="005E7353" w:rsidRPr="0072072B" w:rsidRDefault="005E7353" w:rsidP="005E7353">
      <w:pPr>
        <w:pStyle w:val="NormalHanging12a"/>
      </w:pPr>
      <w:r w:rsidRPr="0072072B">
        <w:t>–</w:t>
      </w:r>
      <w:r w:rsidRPr="0072072B">
        <w:tab/>
        <w:t>ņemot vērā nostāju attiecībā uz budžeta grozījuma Nr. 4/2024 projektu, ko Padome pieņēma 2024. gada 23. septembrī un nosūtīja Eiropas Parlamentam 2024. gada 24. septembrī (13195/2024 – C10-0109/2024),</w:t>
      </w:r>
    </w:p>
    <w:p w:rsidR="005E7353" w:rsidRPr="0072072B" w:rsidRDefault="005E7353" w:rsidP="005E7353">
      <w:pPr>
        <w:pStyle w:val="NormalHanging12a"/>
      </w:pPr>
      <w:r w:rsidRPr="0072072B">
        <w:t>–</w:t>
      </w:r>
      <w:r w:rsidRPr="0072072B">
        <w:tab/>
        <w:t>ņemot vērā Reglamenta 96. un 98. pantu,</w:t>
      </w:r>
    </w:p>
    <w:p w:rsidR="005E7353" w:rsidRPr="0072072B" w:rsidRDefault="005E7353" w:rsidP="005E7353">
      <w:pPr>
        <w:pStyle w:val="NormalHanging12a"/>
      </w:pPr>
      <w:r w:rsidRPr="0072072B">
        <w:t>–</w:t>
      </w:r>
      <w:r w:rsidRPr="0072072B">
        <w:tab/>
        <w:t>ņemot vērā Budžeta komitejas ziņojumu (A10-0007/2024),</w:t>
      </w:r>
    </w:p>
    <w:p w:rsidR="005E7353" w:rsidRPr="0072072B" w:rsidRDefault="005E7353" w:rsidP="005E7353">
      <w:pPr>
        <w:pStyle w:val="NormalHanging12a"/>
      </w:pPr>
      <w:r w:rsidRPr="0072072B">
        <w:t>A.</w:t>
      </w:r>
      <w:r w:rsidRPr="0072072B">
        <w:tab/>
        <w:t>tā kā budžeta grozījuma Nr. 4/2024 projekta galvenais mērķis ir atjaunināt budžeta ieņēmumu daļu, lai ņemtu vērā jaunākās norises un papildus koriģētu budžeta izdevumu daļu attiecībā uz vairākām decentralizētajām aģentūrām;</w:t>
      </w:r>
    </w:p>
    <w:p w:rsidR="005E7353" w:rsidRPr="0072072B" w:rsidRDefault="005E7353" w:rsidP="005E7353">
      <w:pPr>
        <w:pStyle w:val="NormalHanging12a"/>
      </w:pPr>
      <w:r w:rsidRPr="0072072B">
        <w:t>B.</w:t>
      </w:r>
      <w:r w:rsidRPr="0072072B">
        <w:tab/>
        <w:t>tā kā budžeta grozījuma Nr. 4/202</w:t>
      </w:r>
      <w:r w:rsidR="00B609E7">
        <w:t>4</w:t>
      </w:r>
      <w:bookmarkStart w:id="8" w:name="_GoBack"/>
      <w:bookmarkEnd w:id="8"/>
      <w:r w:rsidRPr="0072072B">
        <w:t xml:space="preserve"> projekts paredz pārskatīt pašu resursu prognozes attiecībā uz muitas nodokļiem, kuru summa ir par 18,3 % mazāka nekā 2023. gada maija prognozē, neierobežoto PVN bāzi, kura ir par 0,6 % zemāka nekā 2023. gada maija prognozē, </w:t>
      </w:r>
      <w:proofErr w:type="spellStart"/>
      <w:r w:rsidRPr="0072072B">
        <w:t>nereciklētā</w:t>
      </w:r>
      <w:proofErr w:type="spellEnd"/>
      <w:r w:rsidRPr="0072072B">
        <w:t xml:space="preserve"> izlietotā plastmasas iepakojuma apjomu, kas ir par 0,6 % lielāks nekā 2023. gada maija prognozē, un kopējo ES NKI bāzi, kura ir par 0,3 % augstāka nekā 2023. gada maija prognozē;</w:t>
      </w:r>
    </w:p>
    <w:p w:rsidR="005E7353" w:rsidRPr="0072072B" w:rsidRDefault="005E7353" w:rsidP="005E7353">
      <w:pPr>
        <w:pStyle w:val="NormalHanging12a"/>
      </w:pPr>
      <w:r w:rsidRPr="0072072B">
        <w:t>C.</w:t>
      </w:r>
      <w:r w:rsidRPr="0072072B">
        <w:tab/>
        <w:t>tā kā budžeta grozījuma Nr. 4/2024 projekts arī atjaunina Apvienotās Karalistes 2024. gada iemaksu saskaņā ar izstāšanās līgumu, t. i., 2,38 miljardi EUR, kas ir ievērojams samazinājums 1,52 miljardu EUR apmērā salīdzinājumā ar 2024. gada budžetā iekļauto aplēsi; tā kā budžeta grozījuma Nr. 4/2024 projektā ir ņemti vērā arī līdz 2024. gada maija beigām iekasētie naudas sodi un soda maksājumi, kuri sākotnējo prognozi par ieņēmumiem no naudas sodiem un soda maksājumiem 2024. gada budžetā palielina par 513 miljoniem EUR;</w:t>
      </w:r>
    </w:p>
    <w:p w:rsidR="005E7353" w:rsidRPr="0072072B" w:rsidRDefault="005E7353" w:rsidP="005E7353">
      <w:pPr>
        <w:pStyle w:val="NormalHanging12a"/>
      </w:pPr>
      <w:r w:rsidRPr="0072072B">
        <w:t>D.</w:t>
      </w:r>
      <w:r w:rsidRPr="0072072B">
        <w:tab/>
        <w:t xml:space="preserve">tā kā budžeta grozījuma Nr. 4/2024 projektā ir ierosinātas vairākas korekcijas decentralizēto aģentūru finansēšanā, paredzot kopējo neto palielinājumu par 12 miljoniem EUR un priekšlikumu izmantot elastības instrumentu 13,2 miljonu EUR apmērā, lai segtu finansējuma palielinājumus Eiropas Zāļu aģentūrai un </w:t>
      </w:r>
      <w:proofErr w:type="spellStart"/>
      <w:r w:rsidRPr="0072072B">
        <w:rPr>
          <w:i/>
          <w:iCs/>
        </w:rPr>
        <w:t>Eurojust</w:t>
      </w:r>
      <w:proofErr w:type="spellEnd"/>
      <w:r w:rsidRPr="0072072B">
        <w:t>, ja daudzgadu finanšu shēmas (DFS) 2.b izdevumu kategorijā nav pieejamas rezerves,</w:t>
      </w:r>
    </w:p>
    <w:p w:rsidR="005E7353" w:rsidRPr="0072072B" w:rsidRDefault="005E7353" w:rsidP="005E7353">
      <w:pPr>
        <w:pStyle w:val="NormalHanging12a"/>
      </w:pPr>
      <w:r w:rsidRPr="0072072B">
        <w:t>1.</w:t>
      </w:r>
      <w:r w:rsidRPr="0072072B">
        <w:tab/>
        <w:t>atzinīgi vērtē Komisijas iesniegto budžeta grozījuma Nr. 4/2024 projektu;</w:t>
      </w:r>
    </w:p>
    <w:p w:rsidR="005E7353" w:rsidRPr="0072072B" w:rsidRDefault="005E7353" w:rsidP="005E7353">
      <w:pPr>
        <w:pStyle w:val="NormalHanging12a"/>
        <w:rPr>
          <w:bCs/>
          <w:iCs/>
          <w:szCs w:val="24"/>
        </w:rPr>
      </w:pPr>
      <w:r w:rsidRPr="0072072B">
        <w:t>2.</w:t>
      </w:r>
      <w:r w:rsidRPr="0072072B">
        <w:tab/>
        <w:t xml:space="preserve">pieņem zināšanai, ka pašu resursu, kas nav NKI (jo īpaši attiecībā uz muitas nodokļiem), apmēra un Apvienotās Karalistes iemaksas samazinājums budžetā nozīmē </w:t>
      </w:r>
      <w:r w:rsidRPr="0072072B">
        <w:lastRenderedPageBreak/>
        <w:t xml:space="preserve">NKI iemaksu palielinājumu par 5,63 miljardiem EUR; norāda, ka sākotnējās muitas nodokļu prognozes un Apvienotās Karalistes iemaksas būtiski atšķiras, un aicina Komisiju izskatīt iespējas uzlabot tās prognozēšanas metodes, kas ir būtiski svarīga budžeta plānošanas </w:t>
      </w:r>
      <w:proofErr w:type="spellStart"/>
      <w:r w:rsidRPr="0072072B">
        <w:t>paredzamībai</w:t>
      </w:r>
      <w:proofErr w:type="spellEnd"/>
      <w:r w:rsidRPr="0072072B">
        <w:t xml:space="preserve">; </w:t>
      </w:r>
    </w:p>
    <w:p w:rsidR="005E7353" w:rsidRPr="0072072B" w:rsidRDefault="005E7353" w:rsidP="005E7353">
      <w:pPr>
        <w:pStyle w:val="NormalHanging12a"/>
      </w:pPr>
      <w:r w:rsidRPr="0072072B">
        <w:t>3.</w:t>
      </w:r>
      <w:r w:rsidRPr="0072072B">
        <w:tab/>
        <w:t xml:space="preserve">uzsver, ka saskaņā ar budžeta grozījuma Nr. 4/2024 projektu NKI fiksētas summas korekcijas piecām saņēmējām dalībvalstīm ir nedaudz mazākas par 5,4 miljardiem EUR neto izteiksmē; uzsver, ka šīs atlaides ir saistītas ar inflāciju un tāpēc ir palielinājušās lielākā tempā nekā DFS maksimālie apjomi, kas katru gadu tiek koriģēti, pamatojoties uz 2 % </w:t>
      </w:r>
      <w:proofErr w:type="spellStart"/>
      <w:r w:rsidRPr="0072072B">
        <w:t>deflatoru</w:t>
      </w:r>
      <w:proofErr w:type="spellEnd"/>
      <w:r w:rsidRPr="0072072B">
        <w:t>; uzsver, ka šī anomālija palielina slogu pārējām dalībvalstīm;</w:t>
      </w:r>
    </w:p>
    <w:p w:rsidR="005E7353" w:rsidRPr="0072072B" w:rsidRDefault="005E7353" w:rsidP="005E7353">
      <w:pPr>
        <w:pStyle w:val="NormalHanging12a"/>
      </w:pPr>
      <w:r w:rsidRPr="0072072B">
        <w:t>4.</w:t>
      </w:r>
      <w:r w:rsidRPr="0072072B">
        <w:tab/>
        <w:t xml:space="preserve">uzsver, ka Savienības budžetam ir vajadzīgi ilgtspējīgi ieņēmumi, jo budžets pēdējos gados ticis ļoti noslogots, lai reaģētu uz dažādām krīzēm; tādēļ pauž nožēlu par to, ka Padomē nav panākts progress attiecībā uz pašu resursu sistēmas </w:t>
      </w:r>
      <w:r w:rsidRPr="0072072B">
        <w:rPr>
          <w:color w:val="1E1E1F"/>
          <w:shd w:val="clear" w:color="auto" w:fill="FFFFFF"/>
        </w:rPr>
        <w:t>reformu saskaņā ar Iestāžu nolīgumā paredzēto ceļvedi</w:t>
      </w:r>
      <w:r w:rsidRPr="0072072B">
        <w:t>;</w:t>
      </w:r>
      <w:r w:rsidRPr="0072072B">
        <w:rPr>
          <w:color w:val="1E1E1F"/>
          <w:shd w:val="clear" w:color="auto" w:fill="FFFFFF"/>
        </w:rPr>
        <w:t xml:space="preserve"> atgādina</w:t>
      </w:r>
      <w:r w:rsidRPr="0072072B">
        <w:t xml:space="preserve"> </w:t>
      </w:r>
      <w:r w:rsidRPr="0072072B">
        <w:rPr>
          <w:color w:val="1E1E1F"/>
          <w:shd w:val="clear" w:color="auto" w:fill="FFFFFF"/>
        </w:rPr>
        <w:t>savu nostāju par atbalstu grozītajiem Komisijas priekšlikumiem</w:t>
      </w:r>
      <w:r w:rsidRPr="0072072B">
        <w:t xml:space="preserve"> un mudina Padomi ātri pieņemt šos priekšlikumus, lai palielinātu Savienības budžetā pieejamos pašu resursus; atgādina savu jau sen pausto nostāju, ka naudas sodi un soda maksājumi būtu jāizmanto kā papildu ieņēmumi Savienības budžetā;</w:t>
      </w:r>
    </w:p>
    <w:p w:rsidR="005E7353" w:rsidRPr="0072072B" w:rsidRDefault="005E7353" w:rsidP="005E7353">
      <w:pPr>
        <w:pStyle w:val="NormalHanging12a"/>
      </w:pPr>
      <w:r w:rsidRPr="0072072B">
        <w:t>5.</w:t>
      </w:r>
      <w:r w:rsidRPr="0072072B">
        <w:tab/>
        <w:t>atkārto savu jau izsenis pausto nostāju, ka jaunām politikas prioritātēm ir vajadzīgi jauni līdzekļi; norāda uz vairākām korekcijām decentralizēto aģentūru budžetā, galvenokārt atbilstīgi uzdevumiem, kas tām uzticēti saskaņā ar nesen pieņemtajiem tiesību aktiem; atgādina, ka aģentūru rīcībā vajadzētu būt nepieciešamajam personālam un budžetam, lai tās varētu pienācīgi īstenot savas pilnvaras; pauž nožēlu par to, ka vairākos gadījumos papildu resursi decentralizētai aģentūrai nozīmē programmu finansējuma atbilstošu samazinājumu;</w:t>
      </w:r>
    </w:p>
    <w:p w:rsidR="005E7353" w:rsidRPr="0072072B" w:rsidRDefault="005E7353" w:rsidP="005E7353">
      <w:pPr>
        <w:pStyle w:val="NormalHanging12a"/>
      </w:pPr>
      <w:r w:rsidRPr="0072072B">
        <w:t>6.</w:t>
      </w:r>
      <w:r w:rsidRPr="0072072B">
        <w:tab/>
        <w:t>pauž nožēlu par to, ka pašreizējā DFS no programmām uz decentralizētām aģentūrām līdz šim ir pārvietoti kopumā 1,5 miljardi EUR vai ir ierosināts pārvietot šādu summu; uzsver, ka līdzekļu pārdales apmērs liecina par Savienības budžeta ierobežotajiem resursiem, un uzsver, ka ir vajadzīga budžeta elastība, lai aģentūru resursus pielāgotu izmaiņām to pilnvarās un uzdevumos DFS laikā;</w:t>
      </w:r>
    </w:p>
    <w:p w:rsidR="005E7353" w:rsidRPr="0072072B" w:rsidRDefault="005E7353" w:rsidP="005E7353">
      <w:pPr>
        <w:pStyle w:val="NormalHanging12a"/>
      </w:pPr>
      <w:r w:rsidRPr="0072072B">
        <w:t>7.</w:t>
      </w:r>
      <w:r w:rsidRPr="0072072B">
        <w:tab/>
        <w:t xml:space="preserve">norāda, ka budžeta grozījuma Nr. 4/2024 projekts paredz </w:t>
      </w:r>
      <w:proofErr w:type="spellStart"/>
      <w:r w:rsidRPr="0072072B">
        <w:rPr>
          <w:i/>
        </w:rPr>
        <w:t>Eurojust</w:t>
      </w:r>
      <w:proofErr w:type="spellEnd"/>
      <w:r w:rsidRPr="0072072B">
        <w:t xml:space="preserve"> finansējuma palielinājumu par 2 miljoniem EUR inflācijas spiediena dēļ; uzsver, ka inflācijas spiediens ir acīmredzama problēma visām decentralizētajām aģentūrām, ņemot vērā, ka inflācija pārsniedz ikgadējo 2 % </w:t>
      </w:r>
      <w:proofErr w:type="spellStart"/>
      <w:r w:rsidRPr="0072072B">
        <w:t>deflatoru</w:t>
      </w:r>
      <w:proofErr w:type="spellEnd"/>
      <w:r w:rsidRPr="0072072B">
        <w:t>, kas palielina DFS maksimālos apjomus, un tā rezultātā decentralizēto aģentūru personāla un darbības izmaksas ir pakļautas ievērojamam spiedienam, uzskata, ka pašreizējā pieeja decentralizēto aģentūru budžetiem, tos skatot atsevišķi no administratīvajiem izdevumiem DFS 7. izdevumu kategorijā, ir jāpārvērtē, Komisijai gatavojoties DFS laikposmam pēc 2027. gada;</w:t>
      </w:r>
    </w:p>
    <w:p w:rsidR="005E7353" w:rsidRPr="0072072B" w:rsidRDefault="005E7353" w:rsidP="005E7353">
      <w:pPr>
        <w:pStyle w:val="NormalHanging12a"/>
      </w:pPr>
      <w:r w:rsidRPr="0072072B">
        <w:t>8.</w:t>
      </w:r>
      <w:r w:rsidRPr="0072072B">
        <w:tab/>
        <w:t>apstiprina Padomes nostāju attiecībā uz budžeta grozījuma Nr. 4/2024 projektu;</w:t>
      </w:r>
    </w:p>
    <w:p w:rsidR="005E7353" w:rsidRPr="0072072B" w:rsidRDefault="005E7353" w:rsidP="005E7353">
      <w:pPr>
        <w:pStyle w:val="NormalHanging12a"/>
      </w:pPr>
      <w:r w:rsidRPr="0072072B">
        <w:t>9.</w:t>
      </w:r>
      <w:r w:rsidRPr="0072072B">
        <w:tab/>
        <w:t xml:space="preserve">uzdod priekšsēdētājai paziņot, ka budžeta grozījums Nr. 4/2024 ir pieņemts galīgajā variantā, kā arī nodrošināt tā publicēšanu </w:t>
      </w:r>
      <w:r w:rsidRPr="0072072B">
        <w:rPr>
          <w:i/>
        </w:rPr>
        <w:t>Eiropas Savienības Oficiālajā Vēstnesī</w:t>
      </w:r>
      <w:r w:rsidRPr="0072072B">
        <w:t>;</w:t>
      </w:r>
    </w:p>
    <w:p w:rsidR="00E365E1" w:rsidRPr="0072072B" w:rsidRDefault="005E7353" w:rsidP="006C4E54">
      <w:pPr>
        <w:pStyle w:val="NormalHanging12a"/>
      </w:pPr>
      <w:r w:rsidRPr="0072072B">
        <w:t>10.</w:t>
      </w:r>
      <w:r w:rsidRPr="0072072B">
        <w:tab/>
        <w:t>uzdod priekšsēdētājai šo rezolūciju nosūtīt Padomei, Komisijai, kā arī pārējām attiecīgajām iestādēm un struktūrām un dalībvalstu parlamentiem.</w:t>
      </w:r>
      <w:bookmarkStart w:id="9" w:name="TextBodyEnd"/>
      <w:bookmarkEnd w:id="9"/>
    </w:p>
    <w:sectPr w:rsidR="00E365E1" w:rsidRPr="0072072B" w:rsidSect="006549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5C0" w:rsidRPr="00654995" w:rsidRDefault="007B45C0">
      <w:r w:rsidRPr="00654995">
        <w:separator/>
      </w:r>
    </w:p>
  </w:endnote>
  <w:endnote w:type="continuationSeparator" w:id="0">
    <w:p w:rsidR="007B45C0" w:rsidRPr="00654995" w:rsidRDefault="007B45C0">
      <w:r w:rsidRPr="00654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9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9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5C0" w:rsidRPr="00654995" w:rsidRDefault="007B45C0">
      <w:r w:rsidRPr="00654995">
        <w:separator/>
      </w:r>
    </w:p>
  </w:footnote>
  <w:footnote w:type="continuationSeparator" w:id="0">
    <w:p w:rsidR="007B45C0" w:rsidRPr="00654995" w:rsidRDefault="007B45C0">
      <w:r w:rsidRPr="00654995">
        <w:continuationSeparator/>
      </w:r>
    </w:p>
  </w:footnote>
  <w:footnote w:id="1">
    <w:p w:rsidR="005E7353" w:rsidRPr="00654995" w:rsidRDefault="005E7353" w:rsidP="00654995">
      <w:pPr>
        <w:pStyle w:val="FootnoteText"/>
        <w:ind w:left="567" w:hanging="567"/>
        <w:rPr>
          <w:sz w:val="24"/>
          <w:lang w:val="lv-LV"/>
        </w:rPr>
      </w:pPr>
      <w:r w:rsidRPr="00654995">
        <w:rPr>
          <w:rStyle w:val="FootnoteReference"/>
          <w:sz w:val="24"/>
          <w:lang w:val="lv-LV"/>
        </w:rPr>
        <w:footnoteRef/>
      </w:r>
      <w:r w:rsidR="00654995" w:rsidRPr="00654995">
        <w:rPr>
          <w:sz w:val="24"/>
          <w:lang w:val="lv-LV"/>
        </w:rPr>
        <w:t xml:space="preserve"> </w:t>
      </w:r>
      <w:r w:rsidR="00654995" w:rsidRPr="00654995">
        <w:rPr>
          <w:sz w:val="24"/>
          <w:lang w:val="lv-LV"/>
        </w:rPr>
        <w:tab/>
      </w:r>
      <w:r w:rsidRPr="00654995">
        <w:rPr>
          <w:sz w:val="24"/>
          <w:lang w:val="lv-LV"/>
        </w:rPr>
        <w:t xml:space="preserve">OV L 193, 30.7.2018., 1. lpp., ELI: </w:t>
      </w:r>
      <w:hyperlink r:id="rId1" w:history="1">
        <w:r w:rsidRPr="00654995">
          <w:rPr>
            <w:rStyle w:val="Hyperlink"/>
            <w:sz w:val="24"/>
            <w:lang w:val="lv-LV"/>
          </w:rPr>
          <w:t>http://data.europa.eu/eli/reg/2018/1046/oj</w:t>
        </w:r>
      </w:hyperlink>
      <w:r w:rsidRPr="00654995">
        <w:rPr>
          <w:sz w:val="24"/>
          <w:lang w:val="lv-LV"/>
        </w:rPr>
        <w:t>.</w:t>
      </w:r>
    </w:p>
  </w:footnote>
  <w:footnote w:id="2">
    <w:p w:rsidR="005E7353" w:rsidRPr="00654995" w:rsidRDefault="005E7353" w:rsidP="00654995">
      <w:pPr>
        <w:pStyle w:val="FootnoteText"/>
        <w:ind w:left="567" w:hanging="567"/>
        <w:rPr>
          <w:sz w:val="24"/>
          <w:lang w:val="lv-LV"/>
        </w:rPr>
      </w:pPr>
      <w:r w:rsidRPr="00654995">
        <w:rPr>
          <w:rStyle w:val="FootnoteReference"/>
          <w:sz w:val="24"/>
          <w:lang w:val="lv-LV"/>
        </w:rPr>
        <w:footnoteRef/>
      </w:r>
      <w:r w:rsidR="00654995" w:rsidRPr="00654995">
        <w:rPr>
          <w:sz w:val="24"/>
          <w:lang w:val="lv-LV"/>
        </w:rPr>
        <w:t xml:space="preserve"> </w:t>
      </w:r>
      <w:r w:rsidR="00654995" w:rsidRPr="00654995">
        <w:rPr>
          <w:sz w:val="24"/>
          <w:lang w:val="lv-LV"/>
        </w:rPr>
        <w:tab/>
      </w:r>
      <w:r w:rsidRPr="00654995">
        <w:rPr>
          <w:sz w:val="24"/>
          <w:lang w:val="lv-LV"/>
        </w:rPr>
        <w:t xml:space="preserve">OV L 2024/2509, 26.9.2024, </w:t>
      </w:r>
      <w:hyperlink r:id="rId2" w:history="1">
        <w:r w:rsidRPr="00654995">
          <w:rPr>
            <w:rStyle w:val="Hyperlink"/>
            <w:sz w:val="24"/>
            <w:lang w:val="lv-LV"/>
          </w:rPr>
          <w:t>http://data.europa.eu/eli/reg/2024/2509/oj</w:t>
        </w:r>
      </w:hyperlink>
      <w:r w:rsidRPr="00654995">
        <w:rPr>
          <w:sz w:val="24"/>
          <w:lang w:val="lv-LV"/>
        </w:rPr>
        <w:t>.</w:t>
      </w:r>
    </w:p>
  </w:footnote>
  <w:footnote w:id="3">
    <w:p w:rsidR="005E7353" w:rsidRPr="00654995" w:rsidRDefault="005E7353" w:rsidP="00654995">
      <w:pPr>
        <w:pStyle w:val="FootnoteText"/>
        <w:ind w:left="567" w:hanging="567"/>
        <w:rPr>
          <w:sz w:val="24"/>
          <w:lang w:val="lv-LV"/>
        </w:rPr>
      </w:pPr>
      <w:r w:rsidRPr="00654995">
        <w:rPr>
          <w:rStyle w:val="FootnoteReference"/>
          <w:sz w:val="24"/>
          <w:lang w:val="lv-LV"/>
        </w:rPr>
        <w:footnoteRef/>
      </w:r>
      <w:r w:rsidR="00654995" w:rsidRPr="00654995">
        <w:rPr>
          <w:sz w:val="24"/>
          <w:lang w:val="lv-LV"/>
        </w:rPr>
        <w:t xml:space="preserve"> </w:t>
      </w:r>
      <w:r w:rsidR="00654995" w:rsidRPr="00654995">
        <w:rPr>
          <w:sz w:val="24"/>
          <w:lang w:val="lv-LV"/>
        </w:rPr>
        <w:tab/>
      </w:r>
      <w:r w:rsidRPr="00654995">
        <w:rPr>
          <w:sz w:val="24"/>
          <w:lang w:val="lv-LV"/>
        </w:rPr>
        <w:t xml:space="preserve">OV L, 2024/207, 22.2.2024., ELI: </w:t>
      </w:r>
      <w:hyperlink r:id="rId3" w:history="1">
        <w:r w:rsidRPr="00654995">
          <w:rPr>
            <w:rStyle w:val="Hyperlink"/>
            <w:sz w:val="24"/>
            <w:lang w:val="lv-LV"/>
          </w:rPr>
          <w:t>http://data.europa.eu/eli/budget/2024/207/oj</w:t>
        </w:r>
      </w:hyperlink>
      <w:r w:rsidRPr="00654995">
        <w:rPr>
          <w:sz w:val="24"/>
          <w:lang w:val="lv-LV"/>
        </w:rPr>
        <w:t>.</w:t>
      </w:r>
    </w:p>
  </w:footnote>
  <w:footnote w:id="4">
    <w:p w:rsidR="005E7353" w:rsidRPr="00654995" w:rsidRDefault="005E7353" w:rsidP="00654995">
      <w:pPr>
        <w:pStyle w:val="FootnoteText"/>
        <w:ind w:left="567" w:hanging="567"/>
        <w:rPr>
          <w:sz w:val="24"/>
          <w:lang w:val="lv-LV"/>
        </w:rPr>
      </w:pPr>
      <w:r w:rsidRPr="00654995">
        <w:rPr>
          <w:rStyle w:val="FootnoteReference"/>
          <w:sz w:val="24"/>
          <w:lang w:val="lv-LV"/>
        </w:rPr>
        <w:footnoteRef/>
      </w:r>
      <w:r w:rsidR="00654995" w:rsidRPr="00654995">
        <w:rPr>
          <w:sz w:val="24"/>
          <w:lang w:val="lv-LV"/>
        </w:rPr>
        <w:t xml:space="preserve"> </w:t>
      </w:r>
      <w:r w:rsidR="00654995" w:rsidRPr="00654995">
        <w:rPr>
          <w:sz w:val="24"/>
          <w:lang w:val="lv-LV"/>
        </w:rPr>
        <w:tab/>
      </w:r>
      <w:r w:rsidRPr="00654995">
        <w:rPr>
          <w:sz w:val="24"/>
          <w:lang w:val="lv-LV"/>
        </w:rPr>
        <w:t>OV L 433 I, 22.12.2020., 11. </w:t>
      </w:r>
      <w:r w:rsidRPr="00654995">
        <w:rPr>
          <w:sz w:val="24"/>
          <w:lang w:val="lv-LV"/>
        </w:rPr>
        <w:t xml:space="preserve">lpp., ELI: </w:t>
      </w:r>
      <w:hyperlink r:id="rId4" w:history="1">
        <w:r w:rsidRPr="00654995">
          <w:rPr>
            <w:rStyle w:val="Hyperlink"/>
            <w:sz w:val="24"/>
            <w:lang w:val="lv-LV"/>
          </w:rPr>
          <w:t>http://data.europa.eu/eli/reg/2020/2093/oj</w:t>
        </w:r>
      </w:hyperlink>
      <w:r w:rsidRPr="00654995">
        <w:rPr>
          <w:sz w:val="24"/>
          <w:lang w:val="lv-LV"/>
        </w:rPr>
        <w:t>.</w:t>
      </w:r>
    </w:p>
  </w:footnote>
  <w:footnote w:id="5">
    <w:p w:rsidR="005E7353" w:rsidRPr="00654995" w:rsidRDefault="005E7353" w:rsidP="00654995">
      <w:pPr>
        <w:pStyle w:val="FootnoteText"/>
        <w:ind w:left="567" w:hanging="567"/>
        <w:rPr>
          <w:sz w:val="24"/>
          <w:lang w:val="lv-LV"/>
        </w:rPr>
      </w:pPr>
      <w:r w:rsidRPr="00654995">
        <w:rPr>
          <w:rStyle w:val="FootnoteReference"/>
          <w:sz w:val="24"/>
          <w:lang w:val="lv-LV"/>
        </w:rPr>
        <w:footnoteRef/>
      </w:r>
      <w:r w:rsidR="00654995" w:rsidRPr="00654995">
        <w:rPr>
          <w:sz w:val="24"/>
          <w:lang w:val="lv-LV"/>
        </w:rPr>
        <w:t xml:space="preserve"> </w:t>
      </w:r>
      <w:r w:rsidR="00654995" w:rsidRPr="00654995">
        <w:rPr>
          <w:sz w:val="24"/>
          <w:lang w:val="lv-LV"/>
        </w:rPr>
        <w:tab/>
      </w:r>
      <w:r w:rsidRPr="00654995">
        <w:rPr>
          <w:sz w:val="24"/>
          <w:lang w:val="lv-LV"/>
        </w:rPr>
        <w:t>OV L 433 I, 22.12.2020., 28. </w:t>
      </w:r>
      <w:r w:rsidRPr="00654995">
        <w:rPr>
          <w:sz w:val="24"/>
          <w:lang w:val="lv-LV"/>
        </w:rPr>
        <w:t xml:space="preserve">lpp., ELI: </w:t>
      </w:r>
      <w:hyperlink r:id="rId5" w:history="1">
        <w:r w:rsidRPr="00654995">
          <w:rPr>
            <w:rStyle w:val="Hyperlink"/>
            <w:sz w:val="24"/>
            <w:lang w:val="lv-LV"/>
          </w:rPr>
          <w:t>http://data.europa.eu/eli/agree_interinstit/2020/1222/oj</w:t>
        </w:r>
      </w:hyperlink>
      <w:r w:rsidRPr="00654995">
        <w:rPr>
          <w:sz w:val="24"/>
          <w:lang w:val="lv-LV"/>
        </w:rPr>
        <w:t>.</w:t>
      </w:r>
    </w:p>
  </w:footnote>
  <w:footnote w:id="6">
    <w:p w:rsidR="005E7353" w:rsidRPr="00654995" w:rsidRDefault="005E7353" w:rsidP="00654995">
      <w:pPr>
        <w:pStyle w:val="FootnoteText"/>
        <w:ind w:left="567" w:hanging="567"/>
        <w:rPr>
          <w:sz w:val="24"/>
          <w:lang w:val="lv-LV"/>
        </w:rPr>
      </w:pPr>
      <w:r w:rsidRPr="00654995">
        <w:rPr>
          <w:rStyle w:val="FootnoteReference"/>
          <w:sz w:val="24"/>
          <w:lang w:val="lv-LV"/>
        </w:rPr>
        <w:footnoteRef/>
      </w:r>
      <w:r w:rsidR="00654995" w:rsidRPr="00654995">
        <w:rPr>
          <w:sz w:val="24"/>
          <w:lang w:val="lv-LV"/>
        </w:rPr>
        <w:t xml:space="preserve"> </w:t>
      </w:r>
      <w:r w:rsidR="00654995" w:rsidRPr="00654995">
        <w:rPr>
          <w:sz w:val="24"/>
          <w:lang w:val="lv-LV"/>
        </w:rPr>
        <w:tab/>
      </w:r>
      <w:r w:rsidRPr="00654995">
        <w:rPr>
          <w:sz w:val="24"/>
          <w:lang w:val="lv-LV"/>
        </w:rPr>
        <w:t xml:space="preserve">OV L 424, </w:t>
      </w:r>
      <w:r w:rsidR="00B609E7">
        <w:rPr>
          <w:sz w:val="24"/>
          <w:lang w:val="lv-LV"/>
        </w:rPr>
        <w:t>15</w:t>
      </w:r>
      <w:r w:rsidRPr="00654995">
        <w:rPr>
          <w:sz w:val="24"/>
          <w:lang w:val="lv-LV"/>
        </w:rPr>
        <w:t>.</w:t>
      </w:r>
      <w:r w:rsidR="00B609E7">
        <w:rPr>
          <w:sz w:val="24"/>
          <w:lang w:val="lv-LV"/>
        </w:rPr>
        <w:t>12</w:t>
      </w:r>
      <w:r w:rsidRPr="00654995">
        <w:rPr>
          <w:sz w:val="24"/>
          <w:lang w:val="lv-LV"/>
        </w:rPr>
        <w:t xml:space="preserve">.2020., 1. lpp., ELI: </w:t>
      </w:r>
      <w:hyperlink r:id="rId6" w:history="1">
        <w:r w:rsidRPr="00654995">
          <w:rPr>
            <w:rStyle w:val="Hyperlink"/>
            <w:sz w:val="24"/>
            <w:lang w:val="lv-LV"/>
          </w:rPr>
          <w:t>http://data.europa.eu/eli/dec/2020/2053/oj</w:t>
        </w:r>
      </w:hyperlink>
      <w:r w:rsidRPr="0065499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9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9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4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LV"/>
    <w:docVar w:name="dvnumam" w:val="0"/>
    <w:docVar w:name="dvpe" w:val="763.032"/>
    <w:docVar w:name="dvrapporteur" w:val="Referents: "/>
    <w:docVar w:name="dvtitre" w:val="Eiropas Parlamenta 2024. gada XX. XXX  rezolūcija par Padomes nostāju attiecībā uz Eiropas Savienības 2024. finanšu gada budžeta grozījuma Nr. 4/2024 projektu: ieņēmumu (pašu resursu) atjauninājums un dažu decentralizēto aģentūru korekcijas(13195/2024 – C10-0109/2024 – 2024/0185(BUD))"/>
  </w:docVars>
  <w:rsids>
    <w:rsidRoot w:val="007B45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353"/>
    <w:rsid w:val="005F1B17"/>
    <w:rsid w:val="006037C0"/>
    <w:rsid w:val="00654995"/>
    <w:rsid w:val="006631B6"/>
    <w:rsid w:val="00680577"/>
    <w:rsid w:val="006C4E54"/>
    <w:rsid w:val="006F74FA"/>
    <w:rsid w:val="0072072B"/>
    <w:rsid w:val="00731ADD"/>
    <w:rsid w:val="00734777"/>
    <w:rsid w:val="00747932"/>
    <w:rsid w:val="00751A4A"/>
    <w:rsid w:val="00756632"/>
    <w:rsid w:val="00762C74"/>
    <w:rsid w:val="00786EC0"/>
    <w:rsid w:val="007B45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9E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5565F"/>
  <w15:chartTrackingRefBased/>
  <w15:docId w15:val="{651DCD29-DE44-426B-90C5-53E4EA8E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7353"/>
    <w:pPr>
      <w:spacing w:before="480" w:after="240"/>
    </w:pPr>
  </w:style>
  <w:style w:type="paragraph" w:customStyle="1" w:styleId="NormalBold">
    <w:name w:val="NormalBold"/>
    <w:basedOn w:val="Normal"/>
    <w:rsid w:val="005E7353"/>
    <w:rPr>
      <w:b/>
    </w:rPr>
  </w:style>
  <w:style w:type="paragraph" w:customStyle="1" w:styleId="NormalHanging12a">
    <w:name w:val="NormalHanging12a"/>
    <w:basedOn w:val="Normal"/>
    <w:rsid w:val="005E7353"/>
    <w:pPr>
      <w:spacing w:after="240"/>
      <w:ind w:left="567" w:hanging="567"/>
    </w:pPr>
  </w:style>
  <w:style w:type="character" w:styleId="Hyperlink">
    <w:name w:val="Hyperlink"/>
    <w:basedOn w:val="DefaultParagraphFont"/>
    <w:uiPriority w:val="99"/>
    <w:rsid w:val="005E73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budget/2024/207/oj?locale=lv" TargetMode="External"/><Relationship Id="rId2" Type="http://schemas.openxmlformats.org/officeDocument/2006/relationships/hyperlink" Target="https://eur-lex.europa.eu/legal-content/LV/TXT/?uri=CELEX:32024R2509" TargetMode="External"/><Relationship Id="rId1" Type="http://schemas.openxmlformats.org/officeDocument/2006/relationships/hyperlink" Target="https://eur-lex.europa.eu/eli/reg/2018/1046/oj?eliuri=eli%3Areg%3A2018%3A1046%3Aoj&amp;locale=lv" TargetMode="External"/><Relationship Id="rId6" Type="http://schemas.openxmlformats.org/officeDocument/2006/relationships/hyperlink" Target="https://eur-lex.europa.eu/eli/dec/2020/2053/oj?eliuri=eli%3Adec%3A2020%3A2053%3Aoj&amp;locale=lv" TargetMode="External"/><Relationship Id="rId5" Type="http://schemas.openxmlformats.org/officeDocument/2006/relationships/hyperlink" Target="https://eur-lex.europa.eu/eli/agree_interinstit/2020/1222/oj?eliuri=eli%3Aagree_interinstit%3A2020%3A1222%3Aoj&amp;locale=lv" TargetMode="External"/><Relationship Id="rId4" Type="http://schemas.openxmlformats.org/officeDocument/2006/relationships/hyperlink" Target="https://eur-lex.europa.eu/legal-content/LV/TXT/?uri=CELEX:32020R20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68A59-66D2-4C10-802F-CCD25EAE9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2024-11-22T07:53:00Z</dcterms:created>
  <dcterms:modified xsi:type="dcterms:W3CDTF">2024-11-22T07:53:00Z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P10_TA(2024)0024_</vt:lpwstr>
  </property>
  <property fmtid="{D5CDD505-2E9C-101B-9397-08002B2CF9AE}" pid="4" name="&lt;Type&gt;">
    <vt:lpwstr>RR</vt:lpwstr>
  </property>
</Properties>
</file>