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5E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5E94" w:rsidRDefault="00DD15D7" w:rsidP="0010095E">
            <w:pPr>
              <w:pStyle w:val="EPName"/>
            </w:pPr>
            <w:r w:rsidRPr="00C85E94">
              <w:t>Parlament Ewropew</w:t>
            </w:r>
          </w:p>
          <w:p w:rsidR="00751A4A" w:rsidRPr="00C85E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5E94">
              <w:t>2024</w:t>
            </w:r>
            <w:r w:rsidR="00817416" w:rsidRPr="00C85E94">
              <w:t>-202</w:t>
            </w:r>
            <w:r w:rsidRPr="00C85E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5E94" w:rsidRDefault="00187494" w:rsidP="0010095E">
            <w:pPr>
              <w:pStyle w:val="EPLogo"/>
            </w:pPr>
            <w:r w:rsidRPr="00C85E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5E94" w:rsidRDefault="00D058B8" w:rsidP="004C5D52">
      <w:pPr>
        <w:pStyle w:val="LineTop"/>
      </w:pPr>
    </w:p>
    <w:p w:rsidR="00680577" w:rsidRPr="00C85E94" w:rsidRDefault="00DD15D7" w:rsidP="00680577">
      <w:pPr>
        <w:pStyle w:val="EPBodyTA1"/>
      </w:pPr>
      <w:r w:rsidRPr="00C85E94">
        <w:t>TESTI ADOTTATI</w:t>
      </w:r>
    </w:p>
    <w:p w:rsidR="00D058B8" w:rsidRPr="00C85E94" w:rsidRDefault="00D058B8" w:rsidP="00D058B8">
      <w:pPr>
        <w:pStyle w:val="LineBottom"/>
      </w:pPr>
    </w:p>
    <w:p w:rsidR="00DD15D7" w:rsidRPr="00947191" w:rsidRDefault="00DD15D7" w:rsidP="00DD15D7">
      <w:pPr>
        <w:pStyle w:val="ATHeading1"/>
      </w:pPr>
      <w:bookmarkStart w:id="0" w:name="TANumber"/>
      <w:r w:rsidRPr="00C85E94">
        <w:t>P10_TA(2024)00</w:t>
      </w:r>
      <w:bookmarkEnd w:id="0"/>
      <w:r w:rsidR="00187EDA" w:rsidRPr="00947191">
        <w:t>24</w:t>
      </w:r>
      <w:bookmarkStart w:id="1" w:name="_GoBack"/>
      <w:bookmarkEnd w:id="1"/>
    </w:p>
    <w:p w:rsidR="00DD15D7" w:rsidRPr="00C85E94" w:rsidRDefault="00DD15D7" w:rsidP="00DD15D7">
      <w:pPr>
        <w:pStyle w:val="ATHeading2"/>
      </w:pPr>
      <w:bookmarkStart w:id="2" w:name="title"/>
      <w:r w:rsidRPr="00C85E94">
        <w:t xml:space="preserve">Abbozz ta’ baġit </w:t>
      </w:r>
      <w:proofErr w:type="spellStart"/>
      <w:r w:rsidRPr="00C85E94">
        <w:t>emendatorju</w:t>
      </w:r>
      <w:proofErr w:type="spellEnd"/>
      <w:r w:rsidRPr="00C85E94">
        <w:t xml:space="preserve"> Nru 4</w:t>
      </w:r>
      <w:r w:rsidR="00CD5A88">
        <w:t>/2024</w:t>
      </w:r>
      <w:r w:rsidRPr="00C85E94">
        <w:t xml:space="preserve"> għall-baġit ġenerali 2024 – Aġġornament tad-dħul (riżorsi proprji) u aġġustamenti f’xi aġenziji </w:t>
      </w:r>
      <w:proofErr w:type="spellStart"/>
      <w:r w:rsidRPr="00C85E94">
        <w:t>deċentralizzati</w:t>
      </w:r>
      <w:bookmarkEnd w:id="2"/>
      <w:proofErr w:type="spellEnd"/>
    </w:p>
    <w:p w:rsidR="00DD15D7" w:rsidRPr="00C85E94" w:rsidRDefault="00DD15D7" w:rsidP="00DD15D7">
      <w:pPr>
        <w:rPr>
          <w:i/>
          <w:vanish/>
        </w:rPr>
      </w:pPr>
      <w:r w:rsidRPr="00C85E94">
        <w:rPr>
          <w:i/>
        </w:rPr>
        <w:fldChar w:fldCharType="begin"/>
      </w:r>
      <w:r w:rsidRPr="00C85E94">
        <w:rPr>
          <w:i/>
        </w:rPr>
        <w:instrText xml:space="preserve"> TC"(</w:instrText>
      </w:r>
      <w:bookmarkStart w:id="3" w:name="DocNumber"/>
      <w:r w:rsidRPr="00C85E94">
        <w:rPr>
          <w:i/>
        </w:rPr>
        <w:instrText>A10-0007/2024</w:instrText>
      </w:r>
      <w:bookmarkEnd w:id="3"/>
      <w:r w:rsidRPr="00C85E94">
        <w:rPr>
          <w:i/>
        </w:rPr>
        <w:instrText xml:space="preserve"> - </w:instrText>
      </w:r>
      <w:proofErr w:type="spellStart"/>
      <w:r w:rsidRPr="00C85E94">
        <w:rPr>
          <w:i/>
        </w:rPr>
        <w:instrText>Rapporteur</w:instrText>
      </w:r>
      <w:proofErr w:type="spellEnd"/>
      <w:r w:rsidRPr="00C85E94">
        <w:rPr>
          <w:i/>
        </w:rPr>
        <w:instrText xml:space="preserve">: Siegfried </w:instrText>
      </w:r>
      <w:proofErr w:type="spellStart"/>
      <w:r w:rsidRPr="00C85E94">
        <w:rPr>
          <w:i/>
        </w:rPr>
        <w:instrText>Mureşan</w:instrText>
      </w:r>
      <w:proofErr w:type="spellEnd"/>
      <w:r w:rsidRPr="00C85E94">
        <w:rPr>
          <w:i/>
        </w:rPr>
        <w:instrText xml:space="preserve">)"\l3 \n&gt; \* MERGEFORMAT </w:instrText>
      </w:r>
      <w:r w:rsidRPr="00C85E94">
        <w:rPr>
          <w:i/>
        </w:rPr>
        <w:fldChar w:fldCharType="end"/>
      </w:r>
    </w:p>
    <w:p w:rsidR="00DD15D7" w:rsidRPr="00C85E94" w:rsidRDefault="00DD15D7" w:rsidP="00DD15D7">
      <w:pPr>
        <w:rPr>
          <w:vanish/>
        </w:rPr>
      </w:pPr>
      <w:bookmarkStart w:id="4" w:name="Commission"/>
      <w:r w:rsidRPr="00C85E94">
        <w:rPr>
          <w:vanish/>
        </w:rPr>
        <w:t>Kumitat għall-Baġits</w:t>
      </w:r>
      <w:bookmarkEnd w:id="4"/>
    </w:p>
    <w:p w:rsidR="00DD15D7" w:rsidRPr="00C85E94" w:rsidRDefault="00DD15D7" w:rsidP="00DD15D7">
      <w:pPr>
        <w:rPr>
          <w:vanish/>
        </w:rPr>
      </w:pPr>
      <w:bookmarkStart w:id="5" w:name="PE"/>
      <w:r w:rsidRPr="00C85E94">
        <w:rPr>
          <w:vanish/>
        </w:rPr>
        <w:t>PE763.032</w:t>
      </w:r>
      <w:bookmarkEnd w:id="5"/>
    </w:p>
    <w:p w:rsidR="00DD15D7" w:rsidRPr="00C85E94" w:rsidRDefault="00DD15D7" w:rsidP="00DD15D7">
      <w:pPr>
        <w:pStyle w:val="ATHeading3"/>
      </w:pPr>
      <w:bookmarkStart w:id="6" w:name="Sujet"/>
      <w:r w:rsidRPr="00C85E94">
        <w:t xml:space="preserve">Riżoluzzjoni tal-Parlament Ewropew tat-22 ta' Ottubru 2024 dwar il-pożizzjoni tal-Kunsill dwar l-abbozz ta’ baġit </w:t>
      </w:r>
      <w:proofErr w:type="spellStart"/>
      <w:r w:rsidRPr="00C85E94">
        <w:t>emendatorju</w:t>
      </w:r>
      <w:proofErr w:type="spellEnd"/>
      <w:r w:rsidRPr="00C85E94">
        <w:t xml:space="preserve"> Nru 4/2024 tal-Unjoni Ewropea għas-sena finanzjarja 2024 – aġġornament tad-dħul (riżorsi proprji) u aġġustamenti għal xi aġenziji </w:t>
      </w:r>
      <w:proofErr w:type="spellStart"/>
      <w:r w:rsidRPr="00C85E94">
        <w:t>deċentralizzati</w:t>
      </w:r>
      <w:bookmarkEnd w:id="6"/>
      <w:proofErr w:type="spellEnd"/>
      <w:r w:rsidRPr="00C85E94">
        <w:t xml:space="preserve"> </w:t>
      </w:r>
      <w:bookmarkStart w:id="7" w:name="References"/>
      <w:r w:rsidRPr="00C85E94">
        <w:t>(13195/2024 – C10-0109/2024 – 2024/0185(BUD))</w:t>
      </w:r>
      <w:bookmarkEnd w:id="7"/>
    </w:p>
    <w:p w:rsidR="0024355E" w:rsidRPr="00C85E94" w:rsidRDefault="0024355E" w:rsidP="0024355E">
      <w:pPr>
        <w:pStyle w:val="EPComma"/>
      </w:pPr>
      <w:bookmarkStart w:id="8" w:name="TextBodyBegin"/>
      <w:bookmarkEnd w:id="8"/>
      <w:r w:rsidRPr="00C85E94">
        <w:rPr>
          <w:i/>
        </w:rPr>
        <w:t>Il-Parlament Ewropew,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l-Artikolu 314 tat-Trattat dwar il-Funzjonament tal-Unjoni Ewropea,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l-Artikolu 106(a) tat-Trattat li jistabbilixxi l-Komunità Ewropea tal-Enerġija Atomika,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="00947191">
        <w:t xml:space="preserve"> r-Regolament (UE, </w:t>
      </w:r>
      <w:proofErr w:type="spellStart"/>
      <w:r w:rsidR="00947191">
        <w:t>Euratom</w:t>
      </w:r>
      <w:proofErr w:type="spellEnd"/>
      <w:r w:rsidR="00947191">
        <w:t xml:space="preserve">) </w:t>
      </w:r>
      <w:r w:rsidRPr="00C85E94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85E94">
        <w:t>Euratom</w:t>
      </w:r>
      <w:proofErr w:type="spellEnd"/>
      <w:r w:rsidRPr="00C85E94">
        <w:t>) Nru 966/2012</w:t>
      </w:r>
      <w:r w:rsidRPr="00C85E94">
        <w:rPr>
          <w:rStyle w:val="FootnoteReference"/>
        </w:rPr>
        <w:footnoteReference w:id="1"/>
      </w:r>
      <w:r w:rsidRPr="00C85E94">
        <w:t>, u b’mod partikolari l-Artikolu 44 tiegħu,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="00947191">
        <w:t xml:space="preserve"> r-Regolament (UE, </w:t>
      </w:r>
      <w:proofErr w:type="spellStart"/>
      <w:r w:rsidR="00947191">
        <w:t>Euratom</w:t>
      </w:r>
      <w:proofErr w:type="spellEnd"/>
      <w:r w:rsidR="00947191">
        <w:t xml:space="preserve">) </w:t>
      </w:r>
      <w:r w:rsidRPr="00C85E94">
        <w:t>2024/2509 tal-Parlament Ewropew u tal-Kunsill tat-23 ta’ Settembru 2024 dwar ir-regoli finanzjarji applikabbli għall-baġit ġenerali tal-Unjoni</w:t>
      </w:r>
      <w:r w:rsidRPr="00C85E94">
        <w:rPr>
          <w:rStyle w:val="FootnoteReference"/>
        </w:rPr>
        <w:footnoteReference w:id="2"/>
      </w:r>
      <w:r w:rsidRPr="00C85E94">
        <w:t>, u b’mod partikolari l-Artikolu 44 tiegħu,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l-baġit ġenerali tal-Unjoni Ewropea għas-sena finanzjarja 2024, </w:t>
      </w:r>
      <w:r w:rsidRPr="00C85E94">
        <w:lastRenderedPageBreak/>
        <w:t>adottat b’mod definittiv fit-22 ta’ Novembru 2023</w:t>
      </w:r>
      <w:r w:rsidRPr="00C85E94">
        <w:rPr>
          <w:rStyle w:val="FootnoteReference"/>
        </w:rPr>
        <w:footnoteReference w:id="3"/>
      </w:r>
      <w:r w:rsidRPr="00C85E94">
        <w:t>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r-Regolament tal-Kunsill (UE, </w:t>
      </w:r>
      <w:proofErr w:type="spellStart"/>
      <w:r w:rsidR="00947191">
        <w:t>Euratom</w:t>
      </w:r>
      <w:proofErr w:type="spellEnd"/>
      <w:r w:rsidR="00947191">
        <w:t xml:space="preserve">) </w:t>
      </w:r>
      <w:r w:rsidRPr="00C85E94">
        <w:t xml:space="preserve">2020/2093 tas-17 ta’ Diċembru 2020 li jistabbilixxi l-qafas finanzjarju </w:t>
      </w:r>
      <w:proofErr w:type="spellStart"/>
      <w:r w:rsidRPr="00C85E94">
        <w:t>pluriennali</w:t>
      </w:r>
      <w:proofErr w:type="spellEnd"/>
      <w:r w:rsidRPr="00C85E94">
        <w:t xml:space="preserve"> għas-snin mill-2021 sal-2027</w:t>
      </w:r>
      <w:r w:rsidRPr="00C85E94">
        <w:rPr>
          <w:rStyle w:val="FootnoteReference"/>
        </w:rPr>
        <w:footnoteReference w:id="4"/>
      </w:r>
      <w:r w:rsidRPr="00C85E94">
        <w:t>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l-Ftehim </w:t>
      </w:r>
      <w:proofErr w:type="spellStart"/>
      <w:r w:rsidRPr="00C85E94">
        <w:t>Interistituzzjonali</w:t>
      </w:r>
      <w:proofErr w:type="spellEnd"/>
      <w:r w:rsidRPr="00C85E94">
        <w:t xml:space="preserve"> tas-16 ta’ Diċembru 2020 bejn il-Parlament Ewropew, il-Kunsill tal-Unjoni Ewropea u l-Kummissjoni Ewropea dwar dixxiplina </w:t>
      </w:r>
      <w:proofErr w:type="spellStart"/>
      <w:r w:rsidRPr="00C85E94">
        <w:t>baġitarja</w:t>
      </w:r>
      <w:proofErr w:type="spellEnd"/>
      <w:r w:rsidRPr="00C85E94">
        <w:t xml:space="preserve">, dwar kooperazzjoni f’materji </w:t>
      </w:r>
      <w:proofErr w:type="spellStart"/>
      <w:r w:rsidRPr="00C85E94">
        <w:t>baġitarji</w:t>
      </w:r>
      <w:proofErr w:type="spellEnd"/>
      <w:r w:rsidRPr="00C85E94">
        <w:t xml:space="preserve"> u dwar </w:t>
      </w:r>
      <w:proofErr w:type="spellStart"/>
      <w:r w:rsidRPr="00C85E94">
        <w:t>ġestjoni</w:t>
      </w:r>
      <w:proofErr w:type="spellEnd"/>
      <w:r w:rsidRPr="00C85E94">
        <w:t xml:space="preserve"> finanzjarja tajba, kif ukoll dwar riżorsi proprji ġodda, inkluż pjan direzzjonali lejn l-introduzzjoni ta’ riżorsi proprji ġodda</w:t>
      </w:r>
      <w:r w:rsidRPr="00C85E94">
        <w:rPr>
          <w:rStyle w:val="FootnoteReference"/>
        </w:rPr>
        <w:footnoteReference w:id="5"/>
      </w:r>
      <w:r w:rsidRPr="00C85E94">
        <w:t>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d-Deċiżjoni tal-Kunsill (UE, </w:t>
      </w:r>
      <w:proofErr w:type="spellStart"/>
      <w:r w:rsidRPr="00C85E94">
        <w:t>Euratom</w:t>
      </w:r>
      <w:proofErr w:type="spellEnd"/>
      <w:r w:rsidRPr="00C85E94">
        <w:t xml:space="preserve">) 2020/2053 tal-14 ta’ Diċembru 2020 dwar is-sistema tar-riżorsi proprji tal-Unjoni Ewropea u li tħassar id-Deċiżjoni 2014/335/UE, </w:t>
      </w:r>
      <w:proofErr w:type="spellStart"/>
      <w:r w:rsidRPr="00C85E94">
        <w:t>Euratom</w:t>
      </w:r>
      <w:proofErr w:type="spellEnd"/>
      <w:r w:rsidRPr="00C85E94">
        <w:rPr>
          <w:rStyle w:val="FootnoteReference"/>
        </w:rPr>
        <w:footnoteReference w:id="6"/>
      </w:r>
      <w:r w:rsidRPr="00C85E94">
        <w:t>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l-abbozz ta’ baġit </w:t>
      </w:r>
      <w:proofErr w:type="spellStart"/>
      <w:r w:rsidRPr="00C85E94">
        <w:t>emendatorju</w:t>
      </w:r>
      <w:proofErr w:type="spellEnd"/>
      <w:r w:rsidRPr="00C85E94">
        <w:t xml:space="preserve"> Nru 4/2024, adottat mill-Kummissjoni fid-19 ta’ Lulju 2024 (COM(2024)0931),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l-pożizzjoni dwar l-abbozz ta’ baġit </w:t>
      </w:r>
      <w:proofErr w:type="spellStart"/>
      <w:r w:rsidRPr="00C85E94">
        <w:t>emendatorju</w:t>
      </w:r>
      <w:proofErr w:type="spellEnd"/>
      <w:r w:rsidRPr="00C85E94">
        <w:t xml:space="preserve"> Nru 4/2024, adottata mill-Kunsill fit-23 ta’ Settembru 2024 u li ntbagħtet lill-Parlament Ewropew fl-24 ta’ Settembru 2024 (13195/2024 – C10</w:t>
      </w:r>
      <w:r w:rsidRPr="00C85E94">
        <w:noBreakHyphen/>
        <w:t>0109/2024),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l-Artikoli 96 u 98 tar-Regoli ta’ Proċedura tiegħu,</w:t>
      </w:r>
    </w:p>
    <w:p w:rsidR="0024355E" w:rsidRPr="00C85E94" w:rsidRDefault="0024355E" w:rsidP="0024355E">
      <w:pPr>
        <w:pStyle w:val="NormalHanging12a"/>
      </w:pPr>
      <w:r w:rsidRPr="00C85E94">
        <w:t>–</w:t>
      </w:r>
      <w:r w:rsidRPr="00C85E94">
        <w:tab/>
        <w:t xml:space="preserve">wara li </w:t>
      </w:r>
      <w:proofErr w:type="spellStart"/>
      <w:r w:rsidRPr="00C85E94">
        <w:t>kkunsidra</w:t>
      </w:r>
      <w:proofErr w:type="spellEnd"/>
      <w:r w:rsidRPr="00C85E94">
        <w:t xml:space="preserve"> r-rapport tal-Kumitat għall-Baġits (A10‑0007/2024),</w:t>
      </w:r>
    </w:p>
    <w:p w:rsidR="0024355E" w:rsidRPr="00C85E94" w:rsidRDefault="0024355E" w:rsidP="0024355E">
      <w:pPr>
        <w:pStyle w:val="NormalHanging12a"/>
      </w:pPr>
      <w:r w:rsidRPr="00C85E94">
        <w:t>A.</w:t>
      </w:r>
      <w:r w:rsidRPr="00C85E94">
        <w:tab/>
        <w:t xml:space="preserve">billi l-għan ewlieni tal-abbozz ta’ baġit </w:t>
      </w:r>
      <w:proofErr w:type="spellStart"/>
      <w:r w:rsidRPr="00C85E94">
        <w:t>emendatorju</w:t>
      </w:r>
      <w:proofErr w:type="spellEnd"/>
      <w:r w:rsidRPr="00C85E94">
        <w:t xml:space="preserve"> Nru 4/2024 huwa li jaġġorna n-naħa tad-dħul tal-baġit biex jitqiesu l-aħħar żviluppi u, barra minn hekk, li jaġġusta n-naħa tan-nefqa tal-baġit fir-rigward ta’ għadd ta’ aġenziji </w:t>
      </w:r>
      <w:proofErr w:type="spellStart"/>
      <w:r w:rsidRPr="00C85E94">
        <w:t>deċentralizzati</w:t>
      </w:r>
      <w:proofErr w:type="spellEnd"/>
      <w:r w:rsidRPr="00C85E94">
        <w:t>,</w:t>
      </w:r>
    </w:p>
    <w:p w:rsidR="0024355E" w:rsidRPr="00C85E94" w:rsidRDefault="0024355E" w:rsidP="0024355E">
      <w:pPr>
        <w:pStyle w:val="NormalHanging12a"/>
      </w:pPr>
      <w:r w:rsidRPr="00C85E94">
        <w:t>B.</w:t>
      </w:r>
      <w:r w:rsidRPr="00C85E94">
        <w:tab/>
        <w:t xml:space="preserve">billi l-abbozz ta’ baġit </w:t>
      </w:r>
      <w:proofErr w:type="spellStart"/>
      <w:r w:rsidRPr="00C85E94">
        <w:t>emendatorju</w:t>
      </w:r>
      <w:proofErr w:type="spellEnd"/>
      <w:r w:rsidRPr="00C85E94">
        <w:t xml:space="preserve"> Nru 4/2024 jinvolvi reviżjoni tal-previżjonijiet tar-riżorsi proprji fir-rigward tad-dazji doganali, li huma 18,3 % anqas mill-previżjoni ta’ Mejju 2023, fil-bażi tal-VAT mhux limitata, li hija 0,6 % anqas mill-previżjoni ta’ Mejju 2023, fl-iskart mill-</w:t>
      </w:r>
      <w:proofErr w:type="spellStart"/>
      <w:r w:rsidRPr="00C85E94">
        <w:t>imballaġġ</w:t>
      </w:r>
      <w:proofErr w:type="spellEnd"/>
      <w:r w:rsidRPr="00C85E94">
        <w:t xml:space="preserve"> tal-plastik mhux riċiklat, li huwa 0,6 % ogħla meta mqabbel mal-previżjoni ta’ Mejju 2023, u fil-bażi totali tal-ING tal-UE, li hija 0,3 % ogħla mill-previżjoni ta’ Mejju 2023,</w:t>
      </w:r>
    </w:p>
    <w:p w:rsidR="0024355E" w:rsidRPr="00C85E94" w:rsidRDefault="0024355E" w:rsidP="0024355E">
      <w:pPr>
        <w:pStyle w:val="NormalHanging12a"/>
      </w:pPr>
      <w:r w:rsidRPr="00C85E94">
        <w:t>C.</w:t>
      </w:r>
      <w:r w:rsidRPr="00C85E94">
        <w:tab/>
        <w:t xml:space="preserve">billi l-abbozz ta’ baġit </w:t>
      </w:r>
      <w:proofErr w:type="spellStart"/>
      <w:r w:rsidRPr="00C85E94">
        <w:t>emendatorju</w:t>
      </w:r>
      <w:proofErr w:type="spellEnd"/>
      <w:r w:rsidRPr="00C85E94">
        <w:t xml:space="preserve"> Nru 4/2024 jaġġorna wkoll il-kontribuzzjoni tar-Renju Unit għall-2024 skont il-ftehim dwar il-ħruġ, liema kontribuzzjoni tammonta għal EUR 2,38 biljun, tnaqqis sinifikanti ta’ EUR 1,52 biljun meta mqabbel mal-istima inkluża fil-baġit tal-2024; billi l-abbozz ta’ baġit </w:t>
      </w:r>
      <w:proofErr w:type="spellStart"/>
      <w:r w:rsidRPr="00C85E94">
        <w:t>emendatorju</w:t>
      </w:r>
      <w:proofErr w:type="spellEnd"/>
      <w:r w:rsidRPr="00C85E94">
        <w:t xml:space="preserve"> Nru 4/2024 iqis ukoll il-multi u l-penali msarrfa sal-aħħar ta’ Mejju 2024, li jżid il-previżjoni inizjali għall-multi </w:t>
      </w:r>
      <w:r w:rsidRPr="00C85E94">
        <w:lastRenderedPageBreak/>
        <w:t>u l-penali fil-baġit tal-2024 b’EUR 513-il miljun,</w:t>
      </w:r>
    </w:p>
    <w:p w:rsidR="0024355E" w:rsidRPr="00C85E94" w:rsidRDefault="0024355E" w:rsidP="0024355E">
      <w:pPr>
        <w:pStyle w:val="NormalHanging12a"/>
      </w:pPr>
      <w:r w:rsidRPr="00C85E94">
        <w:t>D.</w:t>
      </w:r>
      <w:r w:rsidRPr="00C85E94">
        <w:tab/>
        <w:t xml:space="preserve">billi l-abbozz ta’ baġit </w:t>
      </w:r>
      <w:proofErr w:type="spellStart"/>
      <w:r w:rsidRPr="00C85E94">
        <w:t>emendatorju</w:t>
      </w:r>
      <w:proofErr w:type="spellEnd"/>
      <w:r w:rsidRPr="00C85E94">
        <w:t xml:space="preserve"> Nru 4/2024 jipproponi għadd ta’ aġġustamenti għall-finanzjament tal-aġenziji </w:t>
      </w:r>
      <w:proofErr w:type="spellStart"/>
      <w:r w:rsidRPr="00C85E94">
        <w:t>deċentralizzati</w:t>
      </w:r>
      <w:proofErr w:type="spellEnd"/>
      <w:r w:rsidRPr="00C85E94">
        <w:t xml:space="preserve">, b’żieda netta ta’ EUR 12-il miljun b’mod ġenerali u proposta biex jiġi </w:t>
      </w:r>
      <w:proofErr w:type="spellStart"/>
      <w:r w:rsidRPr="00C85E94">
        <w:t>mobilizzat</w:t>
      </w:r>
      <w:proofErr w:type="spellEnd"/>
      <w:r w:rsidRPr="00C85E94">
        <w:t xml:space="preserve"> l-Istrument ta’ </w:t>
      </w:r>
      <w:proofErr w:type="spellStart"/>
      <w:r w:rsidRPr="00C85E94">
        <w:t>Flessibbiltà</w:t>
      </w:r>
      <w:proofErr w:type="spellEnd"/>
      <w:r w:rsidRPr="00C85E94">
        <w:t xml:space="preserve"> għal ammont ta’ EUR 13,2-il miljun bil-għan li jkopri żidiet għall-Aġenzija Ewropea għall-Mediċini u </w:t>
      </w:r>
      <w:proofErr w:type="spellStart"/>
      <w:r w:rsidRPr="00C85E94">
        <w:t>għall-Eurojust</w:t>
      </w:r>
      <w:proofErr w:type="spellEnd"/>
      <w:r w:rsidRPr="00C85E94">
        <w:t xml:space="preserve"> fin-nuqqas ta’ kwalunkwe marġni disponibbli taħt l-</w:t>
      </w:r>
      <w:proofErr w:type="spellStart"/>
      <w:r w:rsidRPr="00C85E94">
        <w:t>Intestatura</w:t>
      </w:r>
      <w:proofErr w:type="spellEnd"/>
      <w:r w:rsidRPr="00C85E94">
        <w:t xml:space="preserve"> 2b tal-qafas finanzjarju </w:t>
      </w:r>
      <w:proofErr w:type="spellStart"/>
      <w:r w:rsidRPr="00C85E94">
        <w:t>pluriennali</w:t>
      </w:r>
      <w:proofErr w:type="spellEnd"/>
      <w:r w:rsidRPr="00C85E94">
        <w:t xml:space="preserve"> (“il-QFP”),</w:t>
      </w:r>
    </w:p>
    <w:p w:rsidR="0024355E" w:rsidRPr="00C85E94" w:rsidRDefault="0024355E" w:rsidP="0024355E">
      <w:pPr>
        <w:pStyle w:val="NormalHanging12a"/>
      </w:pPr>
      <w:r w:rsidRPr="00C85E94">
        <w:t>1.</w:t>
      </w:r>
      <w:r w:rsidRPr="00C85E94">
        <w:tab/>
        <w:t xml:space="preserve">Jilqa’ l-abbozz ta’ baġit </w:t>
      </w:r>
      <w:proofErr w:type="spellStart"/>
      <w:r w:rsidRPr="00C85E94">
        <w:t>emendatorju</w:t>
      </w:r>
      <w:proofErr w:type="spellEnd"/>
      <w:r w:rsidRPr="00C85E94">
        <w:t xml:space="preserve"> Nru 4/2024, kif imressaq mill-Kummissjoni;</w:t>
      </w:r>
    </w:p>
    <w:p w:rsidR="0024355E" w:rsidRPr="00C85E94" w:rsidRDefault="0024355E" w:rsidP="0024355E">
      <w:pPr>
        <w:pStyle w:val="NormalHanging12a"/>
        <w:rPr>
          <w:bCs/>
          <w:iCs/>
          <w:szCs w:val="24"/>
        </w:rPr>
      </w:pPr>
      <w:r w:rsidRPr="00C85E94">
        <w:t>2.</w:t>
      </w:r>
      <w:r w:rsidRPr="00C85E94">
        <w:tab/>
        <w:t xml:space="preserve">Jieħu nota li t-tnaqqis fl-ammont ta’ riżorsi proprji għajr l-ING (b’mod partikolari fir-rigward tad-dazji doganali) u fid-daqs tal-kontribuzzjoni tar-Renju Unit għall-baġit jirriżulta f’żieda fil-kontribuzzjonijiet tal-ING ta’ EUR 5,63 biljun; jinnota li hemm diverġenza sinifikanti mit-tbassir inizjali tad-dazji doganali u l-kontribuzzjoni tar-Renju Unit u jistieden lill-Kummissjoni teżamina l-ambitu bil-għan li jittejjeb it-tbassir tagħha, liema tbassir huwa vitali </w:t>
      </w:r>
      <w:proofErr w:type="spellStart"/>
      <w:r w:rsidRPr="00C85E94">
        <w:t>għall-prevedibbiltà</w:t>
      </w:r>
      <w:proofErr w:type="spellEnd"/>
      <w:r w:rsidRPr="00C85E94">
        <w:t xml:space="preserve"> tal-ippjanar </w:t>
      </w:r>
      <w:proofErr w:type="spellStart"/>
      <w:r w:rsidRPr="00C85E94">
        <w:t>baġitarju</w:t>
      </w:r>
      <w:proofErr w:type="spellEnd"/>
      <w:r w:rsidRPr="00C85E94">
        <w:t xml:space="preserve">; </w:t>
      </w:r>
    </w:p>
    <w:p w:rsidR="0024355E" w:rsidRPr="00C85E94" w:rsidRDefault="0024355E" w:rsidP="0024355E">
      <w:pPr>
        <w:pStyle w:val="NormalHanging12a"/>
      </w:pPr>
      <w:r w:rsidRPr="00C85E94">
        <w:t>3.</w:t>
      </w:r>
      <w:r w:rsidRPr="00C85E94">
        <w:tab/>
      </w:r>
      <w:proofErr w:type="spellStart"/>
      <w:r w:rsidRPr="00C85E94">
        <w:t>Jissottolinja</w:t>
      </w:r>
      <w:proofErr w:type="spellEnd"/>
      <w:r w:rsidRPr="00C85E94">
        <w:t xml:space="preserve"> li, bl-abbozz ta’ baġit </w:t>
      </w:r>
      <w:proofErr w:type="spellStart"/>
      <w:r w:rsidRPr="00C85E94">
        <w:t>emendatorju</w:t>
      </w:r>
      <w:proofErr w:type="spellEnd"/>
      <w:r w:rsidRPr="00C85E94">
        <w:t xml:space="preserve"> Nru 4/2024, it-tnaqqis ta’ somma sħiħa tal-ING għall-ħames Stati Membri benefiċjarji jammonta għal ftit anqas minn EUR 5,4 biljun netti; jisħaq fuq il-fatt li dawn </w:t>
      </w:r>
      <w:proofErr w:type="spellStart"/>
      <w:r w:rsidRPr="00C85E94">
        <w:t>ir-ribassi</w:t>
      </w:r>
      <w:proofErr w:type="spellEnd"/>
      <w:r w:rsidRPr="00C85E94">
        <w:t xml:space="preserve"> huma marbuta mal-inflazzjoni u għalhekk żdiedu b’rata ogħla mil-limiti massimi tal-QFP, liema limiti jiġu aġġustati kull sena abbażi </w:t>
      </w:r>
      <w:proofErr w:type="spellStart"/>
      <w:r w:rsidRPr="00C85E94">
        <w:t>tad-deflatur</w:t>
      </w:r>
      <w:proofErr w:type="spellEnd"/>
      <w:r w:rsidRPr="00C85E94">
        <w:t xml:space="preserve"> ta’ 2 %; </w:t>
      </w:r>
      <w:proofErr w:type="spellStart"/>
      <w:r w:rsidRPr="00C85E94">
        <w:t>jissottolinja</w:t>
      </w:r>
      <w:proofErr w:type="spellEnd"/>
      <w:r w:rsidRPr="00C85E94">
        <w:t xml:space="preserve"> li din l-anomalija żżid il-piż fuq l-Istati Membri l-oħra;</w:t>
      </w:r>
    </w:p>
    <w:p w:rsidR="0024355E" w:rsidRPr="00C85E94" w:rsidRDefault="0024355E" w:rsidP="0024355E">
      <w:pPr>
        <w:pStyle w:val="NormalHanging12a"/>
      </w:pPr>
      <w:r w:rsidRPr="00C85E94">
        <w:t>4.</w:t>
      </w:r>
      <w:r w:rsidRPr="00C85E94">
        <w:tab/>
        <w:t xml:space="preserve">Jenfasizza l-ħtieġa ta’ dħul sostenibbli għall-baġit tal-Unjoni, li ġie mġebbed ħafna biex </w:t>
      </w:r>
      <w:proofErr w:type="spellStart"/>
      <w:r w:rsidRPr="00C85E94">
        <w:t>jirreaġixxi</w:t>
      </w:r>
      <w:proofErr w:type="spellEnd"/>
      <w:r w:rsidRPr="00C85E94">
        <w:t xml:space="preserve"> għal diversi kriżijiet f’dawn l-aħħar snin; </w:t>
      </w:r>
      <w:proofErr w:type="spellStart"/>
      <w:r w:rsidRPr="00C85E94">
        <w:t>jiddeplora</w:t>
      </w:r>
      <w:proofErr w:type="spellEnd"/>
      <w:r w:rsidRPr="00C85E94">
        <w:t xml:space="preserve">, għalhekk, in-nuqqas ta’ progress fil-Kunsill dwar ir-riforma tas-sistema tar-riżorsi proprji </w:t>
      </w:r>
      <w:r w:rsidRPr="00C85E94">
        <w:rPr>
          <w:color w:val="1E1E1F"/>
          <w:shd w:val="clear" w:color="auto" w:fill="FFFFFF"/>
        </w:rPr>
        <w:t>f’</w:t>
      </w:r>
      <w:proofErr w:type="spellStart"/>
      <w:r w:rsidRPr="00C85E94">
        <w:rPr>
          <w:color w:val="1E1E1F"/>
          <w:shd w:val="clear" w:color="auto" w:fill="FFFFFF"/>
        </w:rPr>
        <w:t>konformità</w:t>
      </w:r>
      <w:proofErr w:type="spellEnd"/>
      <w:r w:rsidRPr="00C85E94">
        <w:rPr>
          <w:color w:val="1E1E1F"/>
          <w:shd w:val="clear" w:color="auto" w:fill="FFFFFF"/>
        </w:rPr>
        <w:t xml:space="preserve"> mal-pjan direzzjonali fil-Ftehim </w:t>
      </w:r>
      <w:proofErr w:type="spellStart"/>
      <w:r w:rsidRPr="00C85E94">
        <w:rPr>
          <w:color w:val="1E1E1F"/>
          <w:shd w:val="clear" w:color="auto" w:fill="FFFFFF"/>
        </w:rPr>
        <w:t>Interistituzzjonali</w:t>
      </w:r>
      <w:proofErr w:type="spellEnd"/>
      <w:r w:rsidRPr="00C85E94">
        <w:rPr>
          <w:color w:val="1E1E1F"/>
          <w:shd w:val="clear" w:color="auto" w:fill="FFFFFF"/>
        </w:rPr>
        <w:t xml:space="preserve">; </w:t>
      </w:r>
      <w:proofErr w:type="spellStart"/>
      <w:r w:rsidRPr="00C85E94">
        <w:rPr>
          <w:color w:val="1E1E1F"/>
          <w:shd w:val="clear" w:color="auto" w:fill="FFFFFF"/>
        </w:rPr>
        <w:t>ifakkarfil</w:t>
      </w:r>
      <w:proofErr w:type="spellEnd"/>
      <w:r w:rsidRPr="00C85E94">
        <w:rPr>
          <w:color w:val="1E1E1F"/>
          <w:shd w:val="clear" w:color="auto" w:fill="FFFFFF"/>
        </w:rPr>
        <w:t xml:space="preserve">-pożizzjoni tiegħu b’appoġġ għall-proposti emendati tal-Kummissjoni u </w:t>
      </w:r>
      <w:r w:rsidRPr="00C85E94">
        <w:t>jħeġġeġ lill-Kunsill u l-Istati Membri jadottaw dawk il-proposti malajr sabiex jiżdiedu r-riżorsi proprji disponibbli għall-baġit tal-Unjoni; ifakkar fil-pożizzjoni tiegħu li ilu jħaddan li l-multi u l-imposti għandhom jintużaw bħala dħul supplimentari għall-baġit tal-Unjoni;</w:t>
      </w:r>
    </w:p>
    <w:p w:rsidR="0024355E" w:rsidRPr="00C85E94" w:rsidRDefault="0024355E" w:rsidP="0024355E">
      <w:pPr>
        <w:pStyle w:val="NormalHanging12a"/>
      </w:pPr>
      <w:r w:rsidRPr="00C85E94">
        <w:t>5.</w:t>
      </w:r>
      <w:r w:rsidRPr="00C85E94">
        <w:tab/>
        <w:t xml:space="preserve">Itenni l-pożizzjoni tiegħu li ilu jħaddan li prijoritajiet ġodda jirrikjedu flus ġodda; jinnota s-serje ta’ aġġustamenti għall-baġits tal-aġenziji </w:t>
      </w:r>
      <w:proofErr w:type="spellStart"/>
      <w:r w:rsidRPr="00C85E94">
        <w:t>deċentralizzati</w:t>
      </w:r>
      <w:proofErr w:type="spellEnd"/>
      <w:r w:rsidRPr="00C85E94">
        <w:t>, primarjament f’</w:t>
      </w:r>
      <w:proofErr w:type="spellStart"/>
      <w:r w:rsidRPr="00C85E94">
        <w:t>konformità</w:t>
      </w:r>
      <w:proofErr w:type="spellEnd"/>
      <w:r w:rsidRPr="00C85E94">
        <w:t xml:space="preserve"> </w:t>
      </w:r>
      <w:proofErr w:type="spellStart"/>
      <w:r w:rsidRPr="00C85E94">
        <w:t>mal-kompiti</w:t>
      </w:r>
      <w:proofErr w:type="spellEnd"/>
      <w:r w:rsidRPr="00C85E94">
        <w:t xml:space="preserve"> assenjati lilhom skont il-leġiżlazzjoni adottata reċentement; ifakkar li l-aġenziji jeħtiġilhom ikollhom il-persunal u l-baġit meħtieġa biex jissodisfaw il-mandati tagħhom sew; </w:t>
      </w:r>
      <w:proofErr w:type="spellStart"/>
      <w:r w:rsidRPr="00C85E94">
        <w:t>jiddeplora</w:t>
      </w:r>
      <w:proofErr w:type="spellEnd"/>
      <w:r w:rsidRPr="00C85E94">
        <w:t xml:space="preserve"> li, f’diversi każijiet, riżorsi addizzjonali għal aġenzija </w:t>
      </w:r>
      <w:proofErr w:type="spellStart"/>
      <w:r w:rsidRPr="00C85E94">
        <w:t>deċentralizzata</w:t>
      </w:r>
      <w:proofErr w:type="spellEnd"/>
      <w:r w:rsidRPr="00C85E94">
        <w:t xml:space="preserve"> jinvolvu tnaqqis korrispondenti fil-pakkett tal-programm;</w:t>
      </w:r>
    </w:p>
    <w:p w:rsidR="0024355E" w:rsidRPr="00C85E94" w:rsidRDefault="0024355E" w:rsidP="0024355E">
      <w:pPr>
        <w:pStyle w:val="NormalHanging12a"/>
      </w:pPr>
      <w:r w:rsidRPr="00C85E94">
        <w:t>6.</w:t>
      </w:r>
      <w:r w:rsidRPr="00C85E94">
        <w:tab/>
        <w:t xml:space="preserve">Jiddispjaċih li, fil-QFP attwali, total ta’ EUR 1,5 biljun s’issa ġie, jew huwa propost li jiġi, </w:t>
      </w:r>
      <w:proofErr w:type="spellStart"/>
      <w:r w:rsidRPr="00C85E94">
        <w:t>riallokat</w:t>
      </w:r>
      <w:proofErr w:type="spellEnd"/>
      <w:r w:rsidRPr="00C85E94">
        <w:t xml:space="preserve"> minn programmi għal aġenziji </w:t>
      </w:r>
      <w:proofErr w:type="spellStart"/>
      <w:r w:rsidRPr="00C85E94">
        <w:t>deċentralizzati</w:t>
      </w:r>
      <w:proofErr w:type="spellEnd"/>
      <w:r w:rsidRPr="00C85E94">
        <w:t xml:space="preserve">; </w:t>
      </w:r>
      <w:proofErr w:type="spellStart"/>
      <w:r w:rsidRPr="00C85E94">
        <w:t>jissottolinja</w:t>
      </w:r>
      <w:proofErr w:type="spellEnd"/>
      <w:r w:rsidRPr="00C85E94">
        <w:t xml:space="preserve"> li l-kobor tar-</w:t>
      </w:r>
      <w:proofErr w:type="spellStart"/>
      <w:r w:rsidRPr="00C85E94">
        <w:t>riallokazzjonijiet</w:t>
      </w:r>
      <w:proofErr w:type="spellEnd"/>
      <w:r w:rsidRPr="00C85E94">
        <w:t xml:space="preserve"> huwa </w:t>
      </w:r>
      <w:proofErr w:type="spellStart"/>
      <w:r w:rsidRPr="00C85E94">
        <w:t>sintomatiku</w:t>
      </w:r>
      <w:proofErr w:type="spellEnd"/>
      <w:r w:rsidRPr="00C85E94">
        <w:t xml:space="preserve"> tar-riżorsi </w:t>
      </w:r>
      <w:proofErr w:type="spellStart"/>
      <w:r w:rsidRPr="00C85E94">
        <w:t>mġebbda</w:t>
      </w:r>
      <w:proofErr w:type="spellEnd"/>
      <w:r w:rsidRPr="00C85E94">
        <w:t xml:space="preserve"> disponibbli għall-baġit tal-Unjoni u jisħaq fuq il-ħtieġa ta’ </w:t>
      </w:r>
      <w:proofErr w:type="spellStart"/>
      <w:r w:rsidRPr="00C85E94">
        <w:t>flessibbiltà</w:t>
      </w:r>
      <w:proofErr w:type="spellEnd"/>
      <w:r w:rsidRPr="00C85E94">
        <w:t xml:space="preserve"> </w:t>
      </w:r>
      <w:proofErr w:type="spellStart"/>
      <w:r w:rsidRPr="00C85E94">
        <w:t>baġitarja</w:t>
      </w:r>
      <w:proofErr w:type="spellEnd"/>
      <w:r w:rsidRPr="00C85E94">
        <w:t xml:space="preserve"> biex jiġu aġġustati r-riżorsi tal-aġenziji f’</w:t>
      </w:r>
      <w:proofErr w:type="spellStart"/>
      <w:r w:rsidRPr="00C85E94">
        <w:t>konformità</w:t>
      </w:r>
      <w:proofErr w:type="spellEnd"/>
      <w:r w:rsidRPr="00C85E94">
        <w:t xml:space="preserve"> mal-bidliet fil-mandati u l-</w:t>
      </w:r>
      <w:proofErr w:type="spellStart"/>
      <w:r w:rsidRPr="00C85E94">
        <w:t>kompiti</w:t>
      </w:r>
      <w:proofErr w:type="spellEnd"/>
      <w:r w:rsidRPr="00C85E94">
        <w:t xml:space="preserve"> tagħhom matul il-QFP;</w:t>
      </w:r>
    </w:p>
    <w:p w:rsidR="0024355E" w:rsidRPr="00C85E94" w:rsidRDefault="0024355E" w:rsidP="0024355E">
      <w:pPr>
        <w:pStyle w:val="NormalHanging12a"/>
      </w:pPr>
      <w:r w:rsidRPr="00C85E94">
        <w:t>7.</w:t>
      </w:r>
      <w:r w:rsidRPr="00C85E94">
        <w:tab/>
        <w:t xml:space="preserve">Jinnota li l-abbozz ta’ baġit </w:t>
      </w:r>
      <w:proofErr w:type="spellStart"/>
      <w:r w:rsidRPr="00C85E94">
        <w:t>emendatorju</w:t>
      </w:r>
      <w:proofErr w:type="spellEnd"/>
      <w:r w:rsidRPr="00C85E94">
        <w:t xml:space="preserve"> Nru 4/2024 jinvolvi żieda ta’ EUR 2 miljun </w:t>
      </w:r>
      <w:proofErr w:type="spellStart"/>
      <w:r w:rsidRPr="00C85E94">
        <w:t>għall-Eurojust</w:t>
      </w:r>
      <w:proofErr w:type="spellEnd"/>
      <w:r w:rsidRPr="00C85E94">
        <w:t xml:space="preserve"> minħabba pressjoni </w:t>
      </w:r>
      <w:proofErr w:type="spellStart"/>
      <w:r w:rsidRPr="00C85E94">
        <w:t>inflazzjonarja</w:t>
      </w:r>
      <w:proofErr w:type="spellEnd"/>
      <w:r w:rsidRPr="00C85E94">
        <w:t xml:space="preserve">; </w:t>
      </w:r>
      <w:proofErr w:type="spellStart"/>
      <w:r w:rsidRPr="00C85E94">
        <w:t>jissottlinja</w:t>
      </w:r>
      <w:proofErr w:type="spellEnd"/>
      <w:r w:rsidRPr="00C85E94">
        <w:t xml:space="preserve"> li l-pressjoni </w:t>
      </w:r>
      <w:proofErr w:type="spellStart"/>
      <w:r w:rsidRPr="00C85E94">
        <w:t>inflazzjonarja</w:t>
      </w:r>
      <w:proofErr w:type="spellEnd"/>
      <w:r w:rsidRPr="00C85E94">
        <w:t xml:space="preserve"> hija biċ-ċar sfida għall-aġenziji </w:t>
      </w:r>
      <w:proofErr w:type="spellStart"/>
      <w:r w:rsidRPr="00C85E94">
        <w:t>deċentralizzati</w:t>
      </w:r>
      <w:proofErr w:type="spellEnd"/>
      <w:r w:rsidRPr="00C85E94">
        <w:t xml:space="preserve"> kollha, bl-inflazzjoni taqbeż id-</w:t>
      </w:r>
      <w:proofErr w:type="spellStart"/>
      <w:r w:rsidRPr="00C85E94">
        <w:t>deflatur</w:t>
      </w:r>
      <w:proofErr w:type="spellEnd"/>
      <w:r w:rsidRPr="00C85E94">
        <w:t xml:space="preserve"> annwali ta’ 2 % u li bih jiżdiedu l-limiti massimi tal-QFP kif ukoll l-ispejjeż tal-</w:t>
      </w:r>
      <w:r w:rsidRPr="00C85E94">
        <w:lastRenderedPageBreak/>
        <w:t xml:space="preserve">persunal u dawk operattivi għall-aġenziji </w:t>
      </w:r>
      <w:proofErr w:type="spellStart"/>
      <w:r w:rsidRPr="00C85E94">
        <w:t>deċentralizzati</w:t>
      </w:r>
      <w:proofErr w:type="spellEnd"/>
      <w:r w:rsidRPr="00C85E94">
        <w:t xml:space="preserve"> taħt pressjoni sostanzjali b’riżultat ta’ dan; jikkunsidra li t-trattament attwali tal-baġits tal-aġenziji </w:t>
      </w:r>
      <w:proofErr w:type="spellStart"/>
      <w:r w:rsidRPr="00C85E94">
        <w:t>deċentralizzati</w:t>
      </w:r>
      <w:proofErr w:type="spellEnd"/>
      <w:r w:rsidRPr="00C85E94">
        <w:t xml:space="preserve"> bħala separat mill-infiq amministrattiv taħt l-</w:t>
      </w:r>
      <w:proofErr w:type="spellStart"/>
      <w:r w:rsidRPr="00C85E94">
        <w:t>Intestatura</w:t>
      </w:r>
      <w:proofErr w:type="spellEnd"/>
      <w:r w:rsidRPr="00C85E94">
        <w:t xml:space="preserve"> 7 jirrikjedi aktar riflessjoni bħala parti mit-tħejjijiet tal-Kummissjoni </w:t>
      </w:r>
      <w:proofErr w:type="spellStart"/>
      <w:r w:rsidRPr="00C85E94">
        <w:t>għall</w:t>
      </w:r>
      <w:proofErr w:type="spellEnd"/>
      <w:r w:rsidRPr="00C85E94">
        <w:t>-QFP ta’ wara l-2027;</w:t>
      </w:r>
    </w:p>
    <w:p w:rsidR="0024355E" w:rsidRPr="00C85E94" w:rsidRDefault="0024355E" w:rsidP="0024355E">
      <w:pPr>
        <w:pStyle w:val="NormalHanging12a"/>
      </w:pPr>
      <w:r w:rsidRPr="00C85E94">
        <w:t>8.</w:t>
      </w:r>
      <w:r w:rsidRPr="00C85E94">
        <w:tab/>
        <w:t xml:space="preserve">Japprova l-pożizzjoni tal-Kunsill dwar l-abbozz ta’ baġit </w:t>
      </w:r>
      <w:proofErr w:type="spellStart"/>
      <w:r w:rsidRPr="00C85E94">
        <w:t>emendatorju</w:t>
      </w:r>
      <w:proofErr w:type="spellEnd"/>
      <w:r w:rsidRPr="00C85E94">
        <w:t xml:space="preserve"> Nru 4/2024;</w:t>
      </w:r>
    </w:p>
    <w:p w:rsidR="0024355E" w:rsidRPr="00C85E94" w:rsidRDefault="0024355E" w:rsidP="0024355E">
      <w:pPr>
        <w:pStyle w:val="NormalHanging12a"/>
      </w:pPr>
      <w:r w:rsidRPr="00C85E94">
        <w:t>9.</w:t>
      </w:r>
      <w:r w:rsidRPr="00C85E94">
        <w:tab/>
        <w:t xml:space="preserve">Jagħti istruzzjonijiet lill-President tiegħu biex tiddikjara li l-baġit </w:t>
      </w:r>
      <w:proofErr w:type="spellStart"/>
      <w:r w:rsidRPr="00C85E94">
        <w:t>emendatorju</w:t>
      </w:r>
      <w:proofErr w:type="spellEnd"/>
      <w:r w:rsidRPr="00C85E94">
        <w:t xml:space="preserve"> Nru 4/2024 ġie adottat b’mod definittiv u biex tiżgura li jiġi ppubblikat f’</w:t>
      </w:r>
      <w:r w:rsidRPr="00C85E94">
        <w:rPr>
          <w:i/>
        </w:rPr>
        <w:t>Il-Ġurnal Uffiċjali tal-Unjoni Ewropea</w:t>
      </w:r>
      <w:r w:rsidRPr="00C85E94">
        <w:t>;</w:t>
      </w:r>
    </w:p>
    <w:p w:rsidR="0024355E" w:rsidRPr="00C85E94" w:rsidRDefault="0024355E" w:rsidP="0015059A">
      <w:pPr>
        <w:ind w:left="567" w:hanging="567"/>
      </w:pPr>
      <w:r w:rsidRPr="00C85E94">
        <w:t>10.</w:t>
      </w:r>
      <w:r w:rsidRPr="00C85E94">
        <w:tab/>
        <w:t>Jagħti istruzzjonijiet lill-President tiegħu biex tgħaddi din ir-riżoluzzjoni lill-Kunsill, lill-Kummissjoni, lill-istituzzjonijiet l-oħra u lill-entitajiet ikkonċernati, kif ukoll lill-parlamenti nazzjonali.</w:t>
      </w:r>
    </w:p>
    <w:sectPr w:rsidR="0024355E" w:rsidRPr="00C85E94" w:rsidSect="00C85E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5D7" w:rsidRPr="00C85E94" w:rsidRDefault="00DD15D7">
      <w:r w:rsidRPr="00C85E94">
        <w:separator/>
      </w:r>
    </w:p>
  </w:endnote>
  <w:endnote w:type="continuationSeparator" w:id="0">
    <w:p w:rsidR="00DD15D7" w:rsidRPr="00C85E94" w:rsidRDefault="00DD15D7">
      <w:r w:rsidRPr="00C85E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5E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5E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5E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5D7" w:rsidRPr="00C85E94" w:rsidRDefault="00DD15D7">
      <w:r w:rsidRPr="00C85E94">
        <w:separator/>
      </w:r>
    </w:p>
  </w:footnote>
  <w:footnote w:type="continuationSeparator" w:id="0">
    <w:p w:rsidR="00DD15D7" w:rsidRPr="00C85E94" w:rsidRDefault="00DD15D7">
      <w:r w:rsidRPr="00C85E94">
        <w:continuationSeparator/>
      </w:r>
    </w:p>
  </w:footnote>
  <w:footnote w:id="1">
    <w:p w:rsidR="0024355E" w:rsidRPr="00C85E94" w:rsidRDefault="0024355E" w:rsidP="00C85E94">
      <w:pPr>
        <w:pStyle w:val="FootnoteText"/>
        <w:ind w:left="567" w:hanging="567"/>
        <w:rPr>
          <w:sz w:val="24"/>
          <w:lang w:val="mt-MT"/>
        </w:rPr>
      </w:pPr>
      <w:r w:rsidRPr="00C85E94">
        <w:rPr>
          <w:rStyle w:val="FootnoteReference"/>
          <w:sz w:val="24"/>
          <w:lang w:val="mt-MT"/>
        </w:rPr>
        <w:footnoteRef/>
      </w:r>
      <w:r w:rsidR="00C85E94" w:rsidRPr="00C85E94">
        <w:rPr>
          <w:sz w:val="24"/>
          <w:lang w:val="mt-MT"/>
        </w:rPr>
        <w:t xml:space="preserve"> </w:t>
      </w:r>
      <w:r w:rsidR="00C85E94" w:rsidRPr="00C85E94">
        <w:rPr>
          <w:sz w:val="24"/>
          <w:lang w:val="mt-MT"/>
        </w:rPr>
        <w:tab/>
      </w:r>
      <w:r w:rsidRPr="00C85E94">
        <w:rPr>
          <w:sz w:val="24"/>
          <w:lang w:val="mt-MT"/>
        </w:rPr>
        <w:t xml:space="preserve">ĠU L 193, 30.7.2018, p. 1, ELI: </w:t>
      </w:r>
      <w:hyperlink r:id="rId1" w:history="1">
        <w:r w:rsidRPr="00C85E94">
          <w:rPr>
            <w:rStyle w:val="Hyperlink"/>
            <w:sz w:val="24"/>
            <w:lang w:val="mt-MT"/>
          </w:rPr>
          <w:t>https://eur-lex.europa.eu/eli/reg/2018/1046/oj?locale=mt#</w:t>
        </w:r>
      </w:hyperlink>
      <w:r w:rsidRPr="00C85E94">
        <w:rPr>
          <w:sz w:val="24"/>
          <w:lang w:val="mt-MT"/>
        </w:rPr>
        <w:t>.</w:t>
      </w:r>
    </w:p>
  </w:footnote>
  <w:footnote w:id="2">
    <w:p w:rsidR="0024355E" w:rsidRPr="00C85E94" w:rsidRDefault="0024355E" w:rsidP="00C85E94">
      <w:pPr>
        <w:pStyle w:val="FootnoteText"/>
        <w:ind w:left="567" w:hanging="567"/>
        <w:rPr>
          <w:sz w:val="24"/>
          <w:lang w:val="mt-MT"/>
        </w:rPr>
      </w:pPr>
      <w:r w:rsidRPr="00C85E94">
        <w:rPr>
          <w:rStyle w:val="FootnoteReference"/>
          <w:sz w:val="24"/>
          <w:lang w:val="mt-MT"/>
        </w:rPr>
        <w:footnoteRef/>
      </w:r>
      <w:r w:rsidR="00C85E94" w:rsidRPr="00C85E94">
        <w:rPr>
          <w:sz w:val="24"/>
          <w:lang w:val="mt-MT"/>
        </w:rPr>
        <w:t xml:space="preserve"> </w:t>
      </w:r>
      <w:r w:rsidR="00C85E94" w:rsidRPr="00C85E94">
        <w:rPr>
          <w:sz w:val="24"/>
          <w:lang w:val="mt-MT"/>
        </w:rPr>
        <w:tab/>
      </w:r>
      <w:r w:rsidRPr="00C85E94">
        <w:rPr>
          <w:sz w:val="24"/>
          <w:lang w:val="mt-MT"/>
        </w:rPr>
        <w:t xml:space="preserve">ĠU L, 2024/2509, 26.9.2024, </w:t>
      </w:r>
      <w:r w:rsidR="00CD5A88">
        <w:fldChar w:fldCharType="begin"/>
      </w:r>
      <w:r w:rsidR="00CD5A88" w:rsidRPr="00947191">
        <w:rPr>
          <w:lang w:val="pl-PL"/>
        </w:rPr>
        <w:instrText xml:space="preserve"> HYPERLINK "http://data.europa.eu/eli/reg/2024/2509/oj?locale=mt" </w:instrText>
      </w:r>
      <w:r w:rsidR="00CD5A88">
        <w:fldChar w:fldCharType="separate"/>
      </w:r>
      <w:r w:rsidRPr="00C85E94">
        <w:rPr>
          <w:rStyle w:val="Hyperlink"/>
          <w:sz w:val="24"/>
          <w:lang w:val="mt-MT"/>
        </w:rPr>
        <w:t>http://data.europa.eu/eli/reg/2024/2509/oj?locale=mt</w:t>
      </w:r>
      <w:r w:rsidR="00CD5A88">
        <w:rPr>
          <w:rStyle w:val="Hyperlink"/>
          <w:sz w:val="24"/>
          <w:lang w:val="mt-MT"/>
        </w:rPr>
        <w:fldChar w:fldCharType="end"/>
      </w:r>
    </w:p>
  </w:footnote>
  <w:footnote w:id="3">
    <w:p w:rsidR="0024355E" w:rsidRPr="00C85E94" w:rsidRDefault="0024355E" w:rsidP="00C85E94">
      <w:pPr>
        <w:pStyle w:val="FootnoteText"/>
        <w:ind w:left="567" w:hanging="567"/>
        <w:rPr>
          <w:sz w:val="24"/>
          <w:lang w:val="mt-MT"/>
        </w:rPr>
      </w:pPr>
      <w:r w:rsidRPr="00C85E94">
        <w:rPr>
          <w:rStyle w:val="FootnoteReference"/>
          <w:sz w:val="24"/>
          <w:lang w:val="mt-MT"/>
        </w:rPr>
        <w:footnoteRef/>
      </w:r>
      <w:r w:rsidR="00C85E94" w:rsidRPr="00C85E94">
        <w:rPr>
          <w:sz w:val="24"/>
          <w:lang w:val="mt-MT"/>
        </w:rPr>
        <w:t xml:space="preserve"> </w:t>
      </w:r>
      <w:r w:rsidR="00C85E94" w:rsidRPr="00C85E94">
        <w:rPr>
          <w:sz w:val="24"/>
          <w:lang w:val="mt-MT"/>
        </w:rPr>
        <w:tab/>
      </w:r>
      <w:r w:rsidRPr="00C85E94">
        <w:rPr>
          <w:sz w:val="24"/>
          <w:lang w:val="mt-MT"/>
        </w:rPr>
        <w:t xml:space="preserve">ĠU L, 2024/207, 22.2.2024, ELI: </w:t>
      </w:r>
      <w:r w:rsidR="00CD5A88">
        <w:fldChar w:fldCharType="begin"/>
      </w:r>
      <w:r w:rsidR="00CD5A88" w:rsidRPr="00947191">
        <w:rPr>
          <w:lang w:val="fi-FI"/>
        </w:rPr>
        <w:instrText xml:space="preserve"> HYPERLINK "https://eur-lex.europa.eu/eli/budget/2024/207/oj?locale=mt" </w:instrText>
      </w:r>
      <w:r w:rsidR="00CD5A88">
        <w:fldChar w:fldCharType="separate"/>
      </w:r>
      <w:r w:rsidRPr="00C85E94">
        <w:rPr>
          <w:rStyle w:val="Hyperlink"/>
          <w:sz w:val="24"/>
          <w:lang w:val="mt-MT"/>
        </w:rPr>
        <w:t>https://eur-lex.europa.eu/eli/budget/2024/207/oj?locale=mt</w:t>
      </w:r>
      <w:r w:rsidR="00CD5A88">
        <w:rPr>
          <w:rStyle w:val="Hyperlink"/>
          <w:sz w:val="24"/>
          <w:lang w:val="mt-MT"/>
        </w:rPr>
        <w:fldChar w:fldCharType="end"/>
      </w:r>
      <w:r w:rsidRPr="00C85E94">
        <w:rPr>
          <w:sz w:val="24"/>
          <w:lang w:val="mt-MT"/>
        </w:rPr>
        <w:t>.</w:t>
      </w:r>
    </w:p>
  </w:footnote>
  <w:footnote w:id="4">
    <w:p w:rsidR="0024355E" w:rsidRPr="00C85E94" w:rsidRDefault="0024355E" w:rsidP="00C85E94">
      <w:pPr>
        <w:pStyle w:val="FootnoteText"/>
        <w:ind w:left="567" w:hanging="567"/>
        <w:rPr>
          <w:sz w:val="24"/>
          <w:lang w:val="mt-MT"/>
        </w:rPr>
      </w:pPr>
      <w:r w:rsidRPr="00C85E94">
        <w:rPr>
          <w:rStyle w:val="FootnoteReference"/>
          <w:sz w:val="24"/>
          <w:lang w:val="mt-MT"/>
        </w:rPr>
        <w:footnoteRef/>
      </w:r>
      <w:r w:rsidR="00C85E94" w:rsidRPr="00C85E94">
        <w:rPr>
          <w:sz w:val="24"/>
          <w:lang w:val="mt-MT"/>
        </w:rPr>
        <w:t xml:space="preserve"> </w:t>
      </w:r>
      <w:r w:rsidR="00C85E94" w:rsidRPr="00C85E94">
        <w:rPr>
          <w:sz w:val="24"/>
          <w:lang w:val="mt-MT"/>
        </w:rPr>
        <w:tab/>
      </w:r>
      <w:r w:rsidRPr="00C85E94">
        <w:rPr>
          <w:sz w:val="24"/>
          <w:lang w:val="mt-MT"/>
        </w:rPr>
        <w:t xml:space="preserve">ĠU L 433 I, 22.12.2020, p. 11, ELI: </w:t>
      </w:r>
      <w:r w:rsidR="00CD5A88">
        <w:fldChar w:fldCharType="begin"/>
      </w:r>
      <w:r w:rsidR="00CD5A88" w:rsidRPr="00947191">
        <w:rPr>
          <w:lang w:val="fi-FI"/>
        </w:rPr>
        <w:instrText xml:space="preserve"> HYPERLINK "http://data.europa.eu/eli/reg/2020/2093/oj?locale=mt" </w:instrText>
      </w:r>
      <w:r w:rsidR="00CD5A88">
        <w:fldChar w:fldCharType="separate"/>
      </w:r>
      <w:r w:rsidRPr="00C85E94">
        <w:rPr>
          <w:rStyle w:val="Hyperlink"/>
          <w:sz w:val="24"/>
          <w:lang w:val="mt-MT"/>
        </w:rPr>
        <w:t>http://data.europa.eu/eli/reg/2020/2093/oj?locale=mt</w:t>
      </w:r>
      <w:r w:rsidR="00CD5A88">
        <w:rPr>
          <w:rStyle w:val="Hyperlink"/>
          <w:sz w:val="24"/>
          <w:lang w:val="mt-MT"/>
        </w:rPr>
        <w:fldChar w:fldCharType="end"/>
      </w:r>
      <w:r w:rsidRPr="00C85E94">
        <w:rPr>
          <w:sz w:val="24"/>
          <w:lang w:val="mt-MT"/>
        </w:rPr>
        <w:t>.</w:t>
      </w:r>
    </w:p>
  </w:footnote>
  <w:footnote w:id="5">
    <w:p w:rsidR="0024355E" w:rsidRPr="00C85E94" w:rsidRDefault="0024355E" w:rsidP="00C85E94">
      <w:pPr>
        <w:pStyle w:val="FootnoteText"/>
        <w:ind w:left="567" w:hanging="567"/>
        <w:rPr>
          <w:sz w:val="24"/>
          <w:lang w:val="mt-MT"/>
        </w:rPr>
      </w:pPr>
      <w:r w:rsidRPr="00C85E94">
        <w:rPr>
          <w:rStyle w:val="FootnoteReference"/>
          <w:sz w:val="24"/>
          <w:lang w:val="mt-MT"/>
        </w:rPr>
        <w:footnoteRef/>
      </w:r>
      <w:r w:rsidR="00C85E94" w:rsidRPr="00C85E94">
        <w:rPr>
          <w:sz w:val="24"/>
          <w:lang w:val="mt-MT"/>
        </w:rPr>
        <w:t xml:space="preserve"> </w:t>
      </w:r>
      <w:r w:rsidR="00C85E94" w:rsidRPr="00C85E94">
        <w:rPr>
          <w:sz w:val="24"/>
          <w:lang w:val="mt-MT"/>
        </w:rPr>
        <w:tab/>
      </w:r>
      <w:r w:rsidRPr="00C85E94">
        <w:rPr>
          <w:sz w:val="24"/>
          <w:lang w:val="mt-MT"/>
        </w:rPr>
        <w:t xml:space="preserve">ĠU L 433 I, 22.12.2020, p. 28, ELI: </w:t>
      </w:r>
      <w:r w:rsidR="00CD5A88">
        <w:fldChar w:fldCharType="begin"/>
      </w:r>
      <w:r w:rsidR="00CD5A88" w:rsidRPr="00947191">
        <w:rPr>
          <w:lang w:val="fi-FI"/>
        </w:rPr>
        <w:instrText xml:space="preserve"> HYPERLINK "https://eur-lex.europa.eu/eli/agree_interinstit/2020/1222/oj?locale=mt" </w:instrText>
      </w:r>
      <w:r w:rsidR="00CD5A88">
        <w:fldChar w:fldCharType="separate"/>
      </w:r>
      <w:r w:rsidRPr="00C85E94">
        <w:rPr>
          <w:rStyle w:val="Hyperlink"/>
          <w:sz w:val="24"/>
          <w:lang w:val="mt-MT"/>
        </w:rPr>
        <w:t>https://eur-lex.europa.eu/eli/agree_interinstit/2020/1222/oj?locale=mt</w:t>
      </w:r>
      <w:r w:rsidR="00CD5A88">
        <w:rPr>
          <w:rStyle w:val="Hyperlink"/>
          <w:sz w:val="24"/>
          <w:lang w:val="mt-MT"/>
        </w:rPr>
        <w:fldChar w:fldCharType="end"/>
      </w:r>
      <w:r w:rsidRPr="00C85E94">
        <w:rPr>
          <w:sz w:val="24"/>
          <w:lang w:val="mt-MT"/>
        </w:rPr>
        <w:t>.</w:t>
      </w:r>
    </w:p>
  </w:footnote>
  <w:footnote w:id="6">
    <w:p w:rsidR="0024355E" w:rsidRPr="00C85E94" w:rsidRDefault="0024355E" w:rsidP="00C85E94">
      <w:pPr>
        <w:pStyle w:val="FootnoteText"/>
        <w:ind w:left="567" w:hanging="567"/>
        <w:rPr>
          <w:sz w:val="24"/>
          <w:lang w:val="mt-MT"/>
        </w:rPr>
      </w:pPr>
      <w:r w:rsidRPr="00C85E94">
        <w:rPr>
          <w:rStyle w:val="FootnoteReference"/>
          <w:sz w:val="24"/>
          <w:lang w:val="mt-MT"/>
        </w:rPr>
        <w:footnoteRef/>
      </w:r>
      <w:r w:rsidR="00C85E94" w:rsidRPr="00C85E94">
        <w:rPr>
          <w:sz w:val="24"/>
          <w:lang w:val="mt-MT"/>
        </w:rPr>
        <w:t xml:space="preserve"> </w:t>
      </w:r>
      <w:r w:rsidR="00C85E94" w:rsidRPr="00C85E94">
        <w:rPr>
          <w:sz w:val="24"/>
          <w:lang w:val="mt-MT"/>
        </w:rPr>
        <w:tab/>
      </w:r>
      <w:r w:rsidRPr="00C85E94">
        <w:rPr>
          <w:sz w:val="24"/>
          <w:lang w:val="mt-MT"/>
        </w:rPr>
        <w:t xml:space="preserve">ĠU L 424, 15.12.2020, p. 1, ELI: </w:t>
      </w:r>
      <w:r w:rsidR="00CD5A88">
        <w:fldChar w:fldCharType="begin"/>
      </w:r>
      <w:r w:rsidR="00CD5A88" w:rsidRPr="00947191">
        <w:rPr>
          <w:lang w:val="fi-FI"/>
        </w:rPr>
        <w:instrText xml:space="preserve"> HYPERLINK "http://data.europa.eu/eli/dec/2020/205</w:instrText>
      </w:r>
      <w:r w:rsidR="00CD5A88" w:rsidRPr="00947191">
        <w:rPr>
          <w:lang w:val="fi-FI"/>
        </w:rPr>
        <w:instrText xml:space="preserve">3/oj?locale=mt" </w:instrText>
      </w:r>
      <w:r w:rsidR="00CD5A88">
        <w:fldChar w:fldCharType="separate"/>
      </w:r>
      <w:r w:rsidRPr="00C85E94">
        <w:rPr>
          <w:rStyle w:val="Hyperlink"/>
          <w:sz w:val="24"/>
          <w:lang w:val="mt-MT"/>
        </w:rPr>
        <w:t>http://data.europa.eu/eli/dec/2020/2053/oj?locale=mt</w:t>
      </w:r>
      <w:r w:rsidR="00CD5A88">
        <w:rPr>
          <w:rStyle w:val="Hyperlink"/>
          <w:sz w:val="24"/>
          <w:lang w:val="mt-MT"/>
        </w:rPr>
        <w:fldChar w:fldCharType="end"/>
      </w:r>
      <w:r w:rsidRPr="00C85E9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5E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5E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5E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MT"/>
    <w:docVar w:name="dvnumam" w:val="0"/>
    <w:docVar w:name="dvpe" w:val="763.032"/>
    <w:docVar w:name="dvrapporteur" w:val="Rapporteur: "/>
    <w:docVar w:name="dvtitre" w:val="Riżoluzzjoni tal-Parlament Ewropew tat-22 ta' Ottubru 2024 dwar il-pożizzjoni tal-Kunsill dwar l-abbozz ta’ baġit emendatorju Nru 4/2024 tal-Unjoni Ewropea għas-sena finanzjarja 2024 – aġġornament tad-dħul (riżorsi proprji) u aġġustamenti għal xi aġenziji deċentralizzati(13195/2024 – C10-0109/2024 – 2024/0185(BUD))"/>
  </w:docVars>
  <w:rsids>
    <w:rsidRoot w:val="00DD15D7"/>
    <w:rsid w:val="00002272"/>
    <w:rsid w:val="00064002"/>
    <w:rsid w:val="000677B9"/>
    <w:rsid w:val="000831BA"/>
    <w:rsid w:val="000A42CC"/>
    <w:rsid w:val="000E7DD9"/>
    <w:rsid w:val="0010095E"/>
    <w:rsid w:val="00125B37"/>
    <w:rsid w:val="0015059A"/>
    <w:rsid w:val="00187494"/>
    <w:rsid w:val="00187EDA"/>
    <w:rsid w:val="001F32AE"/>
    <w:rsid w:val="0024355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19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E94"/>
    <w:rsid w:val="00C941CB"/>
    <w:rsid w:val="00CC2357"/>
    <w:rsid w:val="00CD5A88"/>
    <w:rsid w:val="00CF071A"/>
    <w:rsid w:val="00D058B8"/>
    <w:rsid w:val="00D56C11"/>
    <w:rsid w:val="00D834A0"/>
    <w:rsid w:val="00D872DF"/>
    <w:rsid w:val="00D91E21"/>
    <w:rsid w:val="00DA0F07"/>
    <w:rsid w:val="00DA7FCD"/>
    <w:rsid w:val="00DD15D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1A7BB"/>
  <w15:chartTrackingRefBased/>
  <w15:docId w15:val="{1DECBADE-D2CC-4512-A2CD-C1851750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355E"/>
    <w:pPr>
      <w:spacing w:before="480" w:after="240"/>
    </w:pPr>
  </w:style>
  <w:style w:type="paragraph" w:customStyle="1" w:styleId="NormalHanging12a">
    <w:name w:val="NormalHanging12a"/>
    <w:basedOn w:val="Normal"/>
    <w:rsid w:val="0024355E"/>
    <w:pPr>
      <w:spacing w:after="240"/>
      <w:ind w:left="567" w:hanging="567"/>
    </w:pPr>
  </w:style>
  <w:style w:type="character" w:styleId="Hyperlink">
    <w:name w:val="Hyperlink"/>
    <w:basedOn w:val="DefaultParagraphFont"/>
    <w:rsid w:val="002435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reg/2018/1046/oj?locale=mt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A9708-1869-40FD-B76D-6715F3BEA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2024-11-21T13:23:00Z</dcterms:created>
  <dcterms:modified xsi:type="dcterms:W3CDTF">2024-11-21T13:23:00Z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P10_TA(2024)0024_</vt:lpwstr>
  </property>
  <property fmtid="{D5CDD505-2E9C-101B-9397-08002B2CF9AE}" pid="4" name="&lt;Type&gt;">
    <vt:lpwstr>RR</vt:lpwstr>
  </property>
</Properties>
</file>