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42D0" w14:paraId="7C5D26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E4AC4C" w14:textId="77777777" w:rsidR="00751A4A" w:rsidRPr="00FD42D0" w:rsidRDefault="00F81CD6" w:rsidP="0010095E">
            <w:pPr>
              <w:pStyle w:val="EPName"/>
            </w:pPr>
            <w:r w:rsidRPr="00FD42D0">
              <w:t>Európsky parlament</w:t>
            </w:r>
          </w:p>
          <w:p w14:paraId="0AB2AEF6" w14:textId="77777777" w:rsidR="00751A4A" w:rsidRPr="00FD42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42D0">
              <w:t>2024</w:t>
            </w:r>
            <w:r w:rsidR="00817416" w:rsidRPr="00FD42D0">
              <w:t>-202</w:t>
            </w:r>
            <w:r w:rsidRPr="00FD42D0">
              <w:t>9</w:t>
            </w:r>
          </w:p>
        </w:tc>
        <w:tc>
          <w:tcPr>
            <w:tcW w:w="2268" w:type="dxa"/>
            <w:shd w:val="clear" w:color="auto" w:fill="auto"/>
          </w:tcPr>
          <w:p w14:paraId="03EED48F" w14:textId="77777777" w:rsidR="00751A4A" w:rsidRPr="00FD42D0" w:rsidRDefault="00187494" w:rsidP="0010095E">
            <w:pPr>
              <w:pStyle w:val="EPLogo"/>
            </w:pPr>
            <w:r w:rsidRPr="00FD42D0">
              <w:rPr>
                <w:noProof/>
                <w:lang w:val="en-GB"/>
              </w:rPr>
              <w:drawing>
                <wp:inline distT="0" distB="0" distL="0" distR="0" wp14:anchorId="49232544" wp14:editId="64596E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99D676" w14:textId="77777777" w:rsidR="00D058B8" w:rsidRPr="00FD42D0" w:rsidRDefault="00D058B8" w:rsidP="004C5D52">
      <w:pPr>
        <w:pStyle w:val="LineTop"/>
      </w:pPr>
    </w:p>
    <w:p w14:paraId="54C532ED" w14:textId="77777777" w:rsidR="00680577" w:rsidRPr="00FD42D0" w:rsidRDefault="00F81CD6" w:rsidP="00680577">
      <w:pPr>
        <w:pStyle w:val="EPBodyTA1"/>
      </w:pPr>
      <w:r w:rsidRPr="00FD42D0">
        <w:t>PRIJATÉ TEXTY</w:t>
      </w:r>
    </w:p>
    <w:p w14:paraId="2C3F8192" w14:textId="77777777" w:rsidR="00D058B8" w:rsidRPr="00FD42D0" w:rsidRDefault="00D058B8" w:rsidP="00D058B8">
      <w:pPr>
        <w:pStyle w:val="LineBottom"/>
      </w:pPr>
    </w:p>
    <w:p w14:paraId="1B5A7EDB" w14:textId="2039F4A5" w:rsidR="00F81CD6" w:rsidRPr="00FD42D0" w:rsidRDefault="00F81CD6" w:rsidP="00F81CD6">
      <w:pPr>
        <w:pStyle w:val="ATHeading1"/>
      </w:pPr>
      <w:bookmarkStart w:id="0" w:name="TANumber"/>
      <w:r w:rsidRPr="00FD42D0">
        <w:t>P10_TA(2024)00</w:t>
      </w:r>
      <w:r w:rsidR="00FD42D0" w:rsidRPr="00FD42D0">
        <w:t>24</w:t>
      </w:r>
      <w:bookmarkEnd w:id="0"/>
    </w:p>
    <w:p w14:paraId="79C14F9A" w14:textId="4CC56DC5" w:rsidR="00F81CD6" w:rsidRPr="00FD42D0" w:rsidRDefault="009D2218" w:rsidP="00F81CD6">
      <w:pPr>
        <w:pStyle w:val="ATHeading2"/>
      </w:pPr>
      <w:bookmarkStart w:id="1" w:name="title"/>
      <w:r w:rsidRPr="00FD42D0">
        <w:t>Návrh opravného rozpočtu č. 4/2024: aktualizácia príjmov (vlastné zdroje) a úpravy týkajúce sa niektorých decentralizovaných agentúr</w:t>
      </w:r>
      <w:bookmarkEnd w:id="1"/>
    </w:p>
    <w:p w14:paraId="0817C20E" w14:textId="77777777" w:rsidR="00F81CD6" w:rsidRPr="00FD42D0" w:rsidRDefault="00F81CD6" w:rsidP="00F81CD6">
      <w:pPr>
        <w:rPr>
          <w:i/>
          <w:vanish/>
        </w:rPr>
      </w:pPr>
      <w:r w:rsidRPr="00FD42D0">
        <w:rPr>
          <w:i/>
        </w:rPr>
        <w:fldChar w:fldCharType="begin"/>
      </w:r>
      <w:r w:rsidRPr="00FD42D0">
        <w:rPr>
          <w:i/>
        </w:rPr>
        <w:instrText xml:space="preserve"> TC"(</w:instrText>
      </w:r>
      <w:bookmarkStart w:id="2" w:name="DocNumber"/>
      <w:r w:rsidRPr="00FD42D0">
        <w:rPr>
          <w:i/>
        </w:rPr>
        <w:instrText>A10-0007/2024</w:instrText>
      </w:r>
      <w:bookmarkEnd w:id="2"/>
      <w:r w:rsidRPr="00FD42D0">
        <w:rPr>
          <w:i/>
        </w:rPr>
        <w:instrText xml:space="preserve"> - Spravodajca: Siegfried Mureşan)"\l3 \n&gt; \* MERGEFORMAT </w:instrText>
      </w:r>
      <w:r w:rsidRPr="00FD42D0">
        <w:rPr>
          <w:i/>
        </w:rPr>
        <w:fldChar w:fldCharType="end"/>
      </w:r>
    </w:p>
    <w:p w14:paraId="127C5759" w14:textId="77777777" w:rsidR="00F81CD6" w:rsidRPr="00FD42D0" w:rsidRDefault="00F81CD6" w:rsidP="00F81CD6">
      <w:pPr>
        <w:rPr>
          <w:vanish/>
        </w:rPr>
      </w:pPr>
      <w:bookmarkStart w:id="3" w:name="Commission"/>
      <w:r w:rsidRPr="00FD42D0">
        <w:rPr>
          <w:vanish/>
        </w:rPr>
        <w:t>Výbor pre rozpočet</w:t>
      </w:r>
      <w:bookmarkEnd w:id="3"/>
    </w:p>
    <w:p w14:paraId="472FB704" w14:textId="77777777" w:rsidR="00F81CD6" w:rsidRPr="00FD42D0" w:rsidRDefault="00F81CD6" w:rsidP="00F81CD6">
      <w:pPr>
        <w:rPr>
          <w:vanish/>
        </w:rPr>
      </w:pPr>
      <w:bookmarkStart w:id="4" w:name="PE"/>
      <w:r w:rsidRPr="00FD42D0">
        <w:rPr>
          <w:vanish/>
        </w:rPr>
        <w:t>PE763.032</w:t>
      </w:r>
      <w:bookmarkEnd w:id="4"/>
    </w:p>
    <w:p w14:paraId="0C8CEB73" w14:textId="3C110212" w:rsidR="00F81CD6" w:rsidRPr="00FD42D0" w:rsidRDefault="00F81CD6" w:rsidP="00F81CD6">
      <w:pPr>
        <w:pStyle w:val="ATHeading3"/>
      </w:pPr>
      <w:bookmarkStart w:id="5" w:name="Sujet"/>
      <w:r w:rsidRPr="00FD42D0">
        <w:t>Uznesenie Európskeho parlamentu z</w:t>
      </w:r>
      <w:r w:rsidR="007F300B" w:rsidRPr="00FD42D0">
        <w:t> 2</w:t>
      </w:r>
      <w:r w:rsidR="009D2218" w:rsidRPr="00FD42D0">
        <w:t>2</w:t>
      </w:r>
      <w:r w:rsidRPr="00FD42D0">
        <w:t>. októbra 2024 o pozícii Rady k návrhu opravného rozpočtu Európskej únie č. 4/2024 na rozpočtový rok 2024 – aktualizácia príjmov (vlastné zdroje) a úpravy týkajúce sa niektorých decentralizovaných agentúr</w:t>
      </w:r>
      <w:bookmarkEnd w:id="5"/>
      <w:r w:rsidRPr="00FD42D0">
        <w:t xml:space="preserve"> </w:t>
      </w:r>
      <w:bookmarkStart w:id="6" w:name="References"/>
      <w:r w:rsidRPr="00FD42D0">
        <w:t>(13195/2024 – C10-0109/2024 – 2024/0185(BUD))</w:t>
      </w:r>
      <w:bookmarkEnd w:id="6"/>
    </w:p>
    <w:p w14:paraId="153149D6" w14:textId="77777777" w:rsidR="00860F99" w:rsidRPr="00FD42D0" w:rsidRDefault="00860F99" w:rsidP="00860F99">
      <w:pPr>
        <w:pStyle w:val="EPComma"/>
      </w:pPr>
      <w:bookmarkStart w:id="7" w:name="TextBodyBegin"/>
      <w:bookmarkEnd w:id="7"/>
      <w:r w:rsidRPr="00FD42D0">
        <w:rPr>
          <w:i/>
        </w:rPr>
        <w:t>Európsky parlament</w:t>
      </w:r>
      <w:r w:rsidRPr="00FD42D0">
        <w:t>,</w:t>
      </w:r>
    </w:p>
    <w:p w14:paraId="1EEA4CEB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>so zreteľom na článok 314 Zmluvy o fungovaní Európskej únie,</w:t>
      </w:r>
    </w:p>
    <w:p w14:paraId="1D95935D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>so zreteľom na článok 106a Zmluvy o založení Európskeho spoločenstva pre atómovú energiu,</w:t>
      </w:r>
    </w:p>
    <w:p w14:paraId="0E430EE9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 xml:space="preserve">so zreteľom na nariadenie Európskeho parlamentu a Rady (EÚ, </w:t>
      </w:r>
      <w:proofErr w:type="spellStart"/>
      <w:r w:rsidRPr="00FD42D0">
        <w:t>Euratom</w:t>
      </w:r>
      <w:proofErr w:type="spellEnd"/>
      <w:r w:rsidRPr="00FD42D0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FD42D0">
        <w:t>Euratom</w:t>
      </w:r>
      <w:proofErr w:type="spellEnd"/>
      <w:r w:rsidRPr="00FD42D0">
        <w:t>) č. 966/2012</w:t>
      </w:r>
      <w:r w:rsidRPr="00FD42D0">
        <w:rPr>
          <w:rStyle w:val="FootnoteReference"/>
        </w:rPr>
        <w:footnoteReference w:id="1"/>
      </w:r>
      <w:r w:rsidRPr="00FD42D0">
        <w:t>, a najmä na jeho článok 44,</w:t>
      </w:r>
    </w:p>
    <w:p w14:paraId="3D9FB5FE" w14:textId="089A6DF5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 xml:space="preserve">so zreteľom na nariadenie Európskeho parlamentu a Rady (EÚ, </w:t>
      </w:r>
      <w:proofErr w:type="spellStart"/>
      <w:r w:rsidRPr="00FD42D0">
        <w:t>Euratom</w:t>
      </w:r>
      <w:proofErr w:type="spellEnd"/>
      <w:r w:rsidRPr="00FD42D0">
        <w:t>) 2024/2509 z 23. septembra 2024 o rozpočtových pravidlách, ktoré sa vzťahujú na všeobecný rozpočet Únie</w:t>
      </w:r>
      <w:r w:rsidRPr="00FD42D0">
        <w:rPr>
          <w:rStyle w:val="FootnoteReference"/>
        </w:rPr>
        <w:footnoteReference w:id="2"/>
      </w:r>
      <w:r w:rsidRPr="00FD42D0">
        <w:t>, a najmä na jeho článok 44,</w:t>
      </w:r>
    </w:p>
    <w:p w14:paraId="3315B7B4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 xml:space="preserve">so zreteľom na všeobecný rozpočet Európskej únie na rozpočtový rok 2024 prijatý s </w:t>
      </w:r>
      <w:r w:rsidRPr="00FD42D0">
        <w:lastRenderedPageBreak/>
        <w:t>konečnou platnosťou 22. novembra 2023</w:t>
      </w:r>
      <w:r w:rsidRPr="00FD42D0">
        <w:rPr>
          <w:rStyle w:val="FootnoteReference"/>
        </w:rPr>
        <w:footnoteReference w:id="3"/>
      </w:r>
      <w:r w:rsidRPr="00FD42D0">
        <w:t>,</w:t>
      </w:r>
      <w:bookmarkStart w:id="8" w:name="_GoBack"/>
      <w:bookmarkEnd w:id="8"/>
    </w:p>
    <w:p w14:paraId="6335337A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 xml:space="preserve">so zreteľom na nariadenie Rady (EÚ, </w:t>
      </w:r>
      <w:proofErr w:type="spellStart"/>
      <w:r w:rsidRPr="00FD42D0">
        <w:t>Euratom</w:t>
      </w:r>
      <w:proofErr w:type="spellEnd"/>
      <w:r w:rsidRPr="00FD42D0">
        <w:t>) 2020/2093 zo 17. decembra 2020, ktorým sa stanovuje viacročný finančný rámec na roky 2021 až 2027</w:t>
      </w:r>
      <w:r w:rsidRPr="00FD42D0">
        <w:rPr>
          <w:rStyle w:val="FootnoteReference"/>
        </w:rPr>
        <w:footnoteReference w:id="4"/>
      </w:r>
      <w:r w:rsidRPr="00FD42D0">
        <w:t>,</w:t>
      </w:r>
    </w:p>
    <w:p w14:paraId="0B04CD47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 xml:space="preserve">so zreteľom na </w:t>
      </w:r>
      <w:proofErr w:type="spellStart"/>
      <w:r w:rsidRPr="00FD42D0">
        <w:t>Medziinštitucionálnu</w:t>
      </w:r>
      <w:proofErr w:type="spellEnd"/>
      <w:r w:rsidRPr="00FD42D0">
        <w:t xml:space="preserve"> dohodu zo 16. decembra 2020 medzi Európskym parlamentom, Radou Európskej únie a Európskou komisiou o rozpočtovej disciplíne, spolupráci v rozpočtových záležitostiach a správnom finančnom riadení, ako aj o nových vlastných zdrojoch vrátane plánu na zavedenie nových vlastných zdrojov</w:t>
      </w:r>
      <w:r w:rsidRPr="00FD42D0">
        <w:rPr>
          <w:rStyle w:val="FootnoteReference"/>
        </w:rPr>
        <w:footnoteReference w:id="5"/>
      </w:r>
      <w:r w:rsidRPr="00FD42D0">
        <w:t>,</w:t>
      </w:r>
    </w:p>
    <w:p w14:paraId="5243DD3B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 xml:space="preserve">so zreteľom na rozhodnutie Rady (EÚ, </w:t>
      </w:r>
      <w:proofErr w:type="spellStart"/>
      <w:r w:rsidRPr="00FD42D0">
        <w:t>Euratom</w:t>
      </w:r>
      <w:proofErr w:type="spellEnd"/>
      <w:r w:rsidRPr="00FD42D0">
        <w:t xml:space="preserve">) 2020/2053 zo 14. decembra 2020 o systéme vlastných zdrojov Európskej únie a o zrušení rozhodnutia 2014/335/EÚ, </w:t>
      </w:r>
      <w:proofErr w:type="spellStart"/>
      <w:r w:rsidRPr="00FD42D0">
        <w:t>Euratom</w:t>
      </w:r>
      <w:proofErr w:type="spellEnd"/>
      <w:r w:rsidRPr="00FD42D0">
        <w:rPr>
          <w:rStyle w:val="FootnoteReference"/>
        </w:rPr>
        <w:footnoteReference w:id="6"/>
      </w:r>
      <w:r w:rsidRPr="00FD42D0">
        <w:t>,</w:t>
      </w:r>
    </w:p>
    <w:p w14:paraId="108B025E" w14:textId="6A870055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 xml:space="preserve">so zreteľom na návrh opravného rozpočtu č. 4/2024, ktorý Komisia prijala 19. júla 2024 </w:t>
      </w:r>
      <w:r w:rsidR="009D2218" w:rsidRPr="00FD42D0">
        <w:t>(</w:t>
      </w:r>
      <w:r w:rsidRPr="00FD42D0">
        <w:t>COM(2024)0931</w:t>
      </w:r>
      <w:r w:rsidR="009D2218" w:rsidRPr="00FD42D0">
        <w:t>)</w:t>
      </w:r>
      <w:r w:rsidRPr="00FD42D0">
        <w:t>,</w:t>
      </w:r>
    </w:p>
    <w:p w14:paraId="3FE69322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>so zreteľom na pozíciu k návrhu opravného rozpočtu č. 4/2024, ktorú prijala Rada 23. septembra 2024 a postúpila Európskemu parlamentu 24. septembra 2024 (13195/2024 – C10</w:t>
      </w:r>
      <w:r w:rsidRPr="00FD42D0">
        <w:noBreakHyphen/>
        <w:t>0109/2024),</w:t>
      </w:r>
    </w:p>
    <w:p w14:paraId="0BA76808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>so zreteľom na články 96 a 98 rokovacieho poriadku,</w:t>
      </w:r>
    </w:p>
    <w:p w14:paraId="304EA4DE" w14:textId="77777777" w:rsidR="00860F99" w:rsidRPr="00FD42D0" w:rsidRDefault="00860F99" w:rsidP="00860F99">
      <w:pPr>
        <w:pStyle w:val="NormalHanging12a"/>
      </w:pPr>
      <w:r w:rsidRPr="00FD42D0">
        <w:t>–</w:t>
      </w:r>
      <w:r w:rsidRPr="00FD42D0">
        <w:tab/>
        <w:t>so zreteľom na správu Výboru pre rozpočet (A10-0007/2024),</w:t>
      </w:r>
    </w:p>
    <w:p w14:paraId="5417A7B2" w14:textId="77777777" w:rsidR="00860F99" w:rsidRPr="00FD42D0" w:rsidRDefault="00860F99" w:rsidP="00860F99">
      <w:pPr>
        <w:pStyle w:val="NormalHanging12a"/>
      </w:pPr>
      <w:r w:rsidRPr="00FD42D0">
        <w:t>A.</w:t>
      </w:r>
      <w:r w:rsidRPr="00FD42D0">
        <w:tab/>
        <w:t>keďže hlavným účelom návrhu opravného rozpočtu č. 4/2024 je aktualizovať príjmovú stranu rozpočtu tak, aby zohľadňovala najnovší vývoj, a okrem toho upraviť výdavkovú stranu rozpočtu vo vzťahu k viacerým decentralizovaným agentúram;</w:t>
      </w:r>
    </w:p>
    <w:p w14:paraId="2A8949B5" w14:textId="77777777" w:rsidR="00860F99" w:rsidRPr="00FD42D0" w:rsidRDefault="00860F99" w:rsidP="00860F99">
      <w:pPr>
        <w:pStyle w:val="NormalHanging12a"/>
      </w:pPr>
      <w:r w:rsidRPr="00FD42D0">
        <w:t>B.</w:t>
      </w:r>
      <w:r w:rsidRPr="00FD42D0">
        <w:tab/>
        <w:t>keďže návrh opravného rozpočtu č. 4/2024 zahŕňa revíziu prognóz vlastných zdrojov v súvislosti s clami, ktoré sú o 18,3 % nižšie ako v prognóze z mája 2023, neobmedzeným základom DPH, ktorý je o 0,6 % nižší ako v prognóze z mája 2023, nerecyklovaným odpadom z plastových obalov, ktorý je o 0,6 % vyšší ako v prognóze z mája 2023, a celkovým základom HND EÚ, ktorý je v porovnaní s prognózou z mája 2023 vyšší o 0,3 %;</w:t>
      </w:r>
    </w:p>
    <w:p w14:paraId="6FDD69C3" w14:textId="77777777" w:rsidR="00860F99" w:rsidRPr="00FD42D0" w:rsidRDefault="00860F99" w:rsidP="00860F99">
      <w:pPr>
        <w:pStyle w:val="NormalHanging12a"/>
      </w:pPr>
      <w:r w:rsidRPr="00FD42D0">
        <w:t>C.</w:t>
      </w:r>
      <w:r w:rsidRPr="00FD42D0">
        <w:tab/>
        <w:t xml:space="preserve">keďže v návrhu opravného rozpočtu č. 4/2024 sa aktualizuje aj príspevok Spojeného kráľovstva na rok 2024 podľa dohody o vystúpení, ktorý predstavuje 2,38 miliardy EUR, čo predstavuje výrazné zníženie o 1,52 miliardy EUR v porovnaní s odhadom uvedeným v rozpočte na rok 2024; keďže v návrhu opravného rozpočtu č. 4/2024 sa </w:t>
      </w:r>
      <w:r w:rsidRPr="00FD42D0">
        <w:lastRenderedPageBreak/>
        <w:t>zohľadňujú aj pokuty a sankcie uhradené do konca mája 2024, čo zvyšuje pôvodnú prognózu pokút a sankcií v rozpočte na rok 2024 o 513 miliónov EUR;</w:t>
      </w:r>
    </w:p>
    <w:p w14:paraId="1C2F42D8" w14:textId="77777777" w:rsidR="00860F99" w:rsidRPr="00FD42D0" w:rsidRDefault="00860F99" w:rsidP="00860F99">
      <w:pPr>
        <w:pStyle w:val="NormalHanging12a"/>
      </w:pPr>
      <w:r w:rsidRPr="00FD42D0">
        <w:t>D.</w:t>
      </w:r>
      <w:r w:rsidRPr="00FD42D0">
        <w:tab/>
        <w:t xml:space="preserve">keďže v návrhu opravného rozpočtu č. 4/2024 sa navrhuje niekoľko úprav financovania decentralizovaných agentúr s celkovým čistým zvýšením o 12 miliónov EUR a návrh na mobilizáciu nástroja flexibility vo výške 13,2 milióna EUR na pokrytie zvýšení pre Európsku agentúru pre lieky a </w:t>
      </w:r>
      <w:proofErr w:type="spellStart"/>
      <w:r w:rsidRPr="00FD42D0">
        <w:t>Eurojust</w:t>
      </w:r>
      <w:proofErr w:type="spellEnd"/>
      <w:r w:rsidRPr="00FD42D0">
        <w:t xml:space="preserve"> pri absencii akejkoľvek dostupnej rezervy v rámci okruhu 2b viacročného finančného rámca;</w:t>
      </w:r>
    </w:p>
    <w:p w14:paraId="5C242C9D" w14:textId="77777777" w:rsidR="00860F99" w:rsidRPr="00FD42D0" w:rsidRDefault="00860F99" w:rsidP="00860F99">
      <w:pPr>
        <w:pStyle w:val="NormalHanging12a"/>
      </w:pPr>
      <w:r w:rsidRPr="00FD42D0">
        <w:t>1.</w:t>
      </w:r>
      <w:r w:rsidRPr="00FD42D0">
        <w:tab/>
        <w:t>víta návrh opravného rozpočtu č. 4/2024, ako ho predložila Komisia;</w:t>
      </w:r>
    </w:p>
    <w:p w14:paraId="72D05C32" w14:textId="77777777" w:rsidR="00860F99" w:rsidRPr="00FD42D0" w:rsidRDefault="00860F99" w:rsidP="00860F99">
      <w:pPr>
        <w:pStyle w:val="NormalHanging12a"/>
        <w:rPr>
          <w:bCs/>
          <w:iCs/>
          <w:szCs w:val="24"/>
        </w:rPr>
      </w:pPr>
      <w:r w:rsidRPr="00FD42D0">
        <w:t>2.</w:t>
      </w:r>
      <w:r w:rsidRPr="00FD42D0">
        <w:tab/>
        <w:t xml:space="preserve">berie na vedomie, že zníženie sumy vlastných zdrojov iných ako HND (najmä pokiaľ ide o clá) a výšky príspevku Spojeného kráľovstva do rozpočtu vedie k zvýšeniu príspevkov založených na HND o 5,63 miliardy EUR; konštatuje, že existuje značná odchýlka od pôvodných prognóz ciel a príspevku Spojeného kráľovstva, a vyzýva Komisiu, aby preskúmala možnosti na zlepšenie prognózovania, ktoré je nevyhnutné pre predvídateľnosť rozpočtového plánovania; </w:t>
      </w:r>
    </w:p>
    <w:p w14:paraId="3E6DF036" w14:textId="5824B7FC" w:rsidR="00860F99" w:rsidRPr="00FD42D0" w:rsidRDefault="00860F99" w:rsidP="00860F99">
      <w:pPr>
        <w:pStyle w:val="NormalHanging12a"/>
      </w:pPr>
      <w:r w:rsidRPr="00FD42D0">
        <w:t>3.</w:t>
      </w:r>
      <w:r w:rsidRPr="00FD42D0">
        <w:tab/>
        <w:t xml:space="preserve">zdôrazňuje, že v návrhu opravného rozpočtu č. 4/2024 predstavuje paušálne zníženie HND pre päť prijímajúcich členských štátov takmer 5,4 miliardy EUR netto; zdôrazňuje, že tieto zľavy súvisia s infláciou, a preto sa zvýšili vyšším tempom ako stropy </w:t>
      </w:r>
      <w:r w:rsidR="00FD6E6A" w:rsidRPr="00FD42D0">
        <w:t>viacročného finančného rámca</w:t>
      </w:r>
      <w:r w:rsidRPr="00FD42D0">
        <w:t>, ktoré sa každoročne upravujú na základe deflátora vo výške 2 %; zdôrazňuje, že táto anomália zvyšuje zaťaženie ostatných členských štátov;</w:t>
      </w:r>
    </w:p>
    <w:p w14:paraId="1AA51FCF" w14:textId="77777777" w:rsidR="00860F99" w:rsidRPr="00FD42D0" w:rsidRDefault="00860F99" w:rsidP="00860F99">
      <w:pPr>
        <w:pStyle w:val="NormalHanging12a"/>
      </w:pPr>
      <w:r w:rsidRPr="00FD42D0">
        <w:t>4.</w:t>
      </w:r>
      <w:r w:rsidRPr="00FD42D0">
        <w:tab/>
        <w:t xml:space="preserve">zdôrazňuje potrebu udržateľných príjmov do rozpočtu Únie, ktorý bol v posledných rokoch značne zaťažený v reakcii na rôzne krízy; vyjadruje preto poľutovanie nad tým, že Rada nedosiahla pokrok v reforme systému vlastných zdrojov </w:t>
      </w:r>
      <w:r w:rsidRPr="00FD42D0">
        <w:rPr>
          <w:color w:val="1E1E1F"/>
          <w:shd w:val="clear" w:color="auto" w:fill="FFFFFF"/>
        </w:rPr>
        <w:t xml:space="preserve">v súlade s plánom uvedeným v </w:t>
      </w:r>
      <w:proofErr w:type="spellStart"/>
      <w:r w:rsidRPr="00FD42D0">
        <w:rPr>
          <w:color w:val="1E1E1F"/>
          <w:shd w:val="clear" w:color="auto" w:fill="FFFFFF"/>
        </w:rPr>
        <w:t>Medziinštitucionálnej</w:t>
      </w:r>
      <w:proofErr w:type="spellEnd"/>
      <w:r w:rsidRPr="00FD42D0">
        <w:rPr>
          <w:color w:val="1E1E1F"/>
          <w:shd w:val="clear" w:color="auto" w:fill="FFFFFF"/>
        </w:rPr>
        <w:t xml:space="preserve"> dohode</w:t>
      </w:r>
      <w:r w:rsidRPr="00FD42D0">
        <w:t>;</w:t>
      </w:r>
      <w:r w:rsidRPr="00FD42D0">
        <w:rPr>
          <w:color w:val="1E1E1F"/>
          <w:shd w:val="clear" w:color="auto" w:fill="FFFFFF"/>
        </w:rPr>
        <w:t xml:space="preserve"> pripomína</w:t>
      </w:r>
      <w:r w:rsidRPr="00FD42D0">
        <w:t xml:space="preserve"> </w:t>
      </w:r>
      <w:r w:rsidRPr="00FD42D0">
        <w:rPr>
          <w:color w:val="1E1E1F"/>
          <w:shd w:val="clear" w:color="auto" w:fill="FFFFFF"/>
        </w:rPr>
        <w:t>svoju pozíciu na podporu zmenených návrhov Komisie a</w:t>
      </w:r>
      <w:r w:rsidRPr="00FD42D0">
        <w:t xml:space="preserve"> naliehavo vyzýva Radu a členské štáty, aby urýchlene prijali tieto návrhy s cieľom zvýšiť vlastné zdroje dostupné pre rozpočet Únie; pripomína svoju dlhodobú pozíciu, že pokuty a poplatky by sa mali používať ako dodatočný príjem do rozpočtu Únie;</w:t>
      </w:r>
    </w:p>
    <w:p w14:paraId="4BC21A05" w14:textId="77777777" w:rsidR="00860F99" w:rsidRPr="00FD42D0" w:rsidRDefault="00860F99" w:rsidP="00860F99">
      <w:pPr>
        <w:pStyle w:val="NormalHanging12a"/>
      </w:pPr>
      <w:r w:rsidRPr="00FD42D0">
        <w:t>5.</w:t>
      </w:r>
      <w:r w:rsidRPr="00FD42D0">
        <w:tab/>
        <w:t>opakuje svoju dlhodobú pozíciu, že nové priority politiky si vyžadujú nové financovanie; berie na vedomie sériu úprav rozpočtov decentralizovaných agentúr, najmä v súlade s úlohami, ktoré im boli pridelené na základe nedávno prijatých právnych predpisov; pripomína, že agentúry musia mať potrebný personál a rozpočet, aby mohli riadne plniť svoje mandáty; vyjadruje poľutovanie nad tým, že v niekoľkých prípadoch dodatočné zdroje pre decentralizovanú agentúru znamenajú zodpovedajúce zníženie finančného krytia programu;</w:t>
      </w:r>
    </w:p>
    <w:p w14:paraId="706D1924" w14:textId="13B32919" w:rsidR="00860F99" w:rsidRPr="00FD42D0" w:rsidRDefault="00860F99" w:rsidP="00860F99">
      <w:pPr>
        <w:pStyle w:val="NormalHanging12a"/>
      </w:pPr>
      <w:r w:rsidRPr="00FD42D0">
        <w:t>6.</w:t>
      </w:r>
      <w:r w:rsidRPr="00FD42D0">
        <w:tab/>
        <w:t xml:space="preserve">vyjadruje poľutovanie nad tým, že v súčasnom viacročnom finančnom rámci sa doteraz prerozdelilo alebo sa navrhuje presunúť z programov do decentralizovaných agentúr celkovo 1,5 miliardy EUR; zdôrazňuje, že rozsah presunov je príznačný pre napäté zdroje, ktoré sú k dispozícii pre rozpočet Únie, a zdôrazňuje potrebu rozpočtovej flexibility na prispôsobenie zdrojov agentúr v súlade so zmenami ich mandátov a úloh v priebehu </w:t>
      </w:r>
      <w:r w:rsidR="00FD6E6A" w:rsidRPr="00FD42D0">
        <w:t>viacročného finančného rámca</w:t>
      </w:r>
      <w:r w:rsidRPr="00FD42D0">
        <w:t>;</w:t>
      </w:r>
    </w:p>
    <w:p w14:paraId="246A666D" w14:textId="40CCEAC0" w:rsidR="00860F99" w:rsidRPr="00FD42D0" w:rsidRDefault="00860F99" w:rsidP="00860F99">
      <w:pPr>
        <w:pStyle w:val="NormalHanging12a"/>
      </w:pPr>
      <w:r w:rsidRPr="00FD42D0">
        <w:t>7.</w:t>
      </w:r>
      <w:r w:rsidRPr="00FD42D0">
        <w:tab/>
        <w:t xml:space="preserve">konštatuje, že návrh opravného rozpočtu č. 4/2024 znamená zvýšenie o 2 milióny EUR pre </w:t>
      </w:r>
      <w:proofErr w:type="spellStart"/>
      <w:r w:rsidRPr="00FD42D0">
        <w:t>Eurojust</w:t>
      </w:r>
      <w:proofErr w:type="spellEnd"/>
      <w:r w:rsidRPr="00FD42D0">
        <w:t xml:space="preserve"> v dôsledku inflačného tlaku; zdôrazňuje, že inflačný tlak je jednoznačne </w:t>
      </w:r>
      <w:r w:rsidRPr="00FD42D0">
        <w:lastRenderedPageBreak/>
        <w:t xml:space="preserve">výzvou pre všetky decentralizované agentúry, keďže inflácia prekračuje ročný deflátor vo výške 2 %, o ktorý sa zvyšujú stropy </w:t>
      </w:r>
      <w:r w:rsidR="00FD6E6A" w:rsidRPr="00FD42D0">
        <w:t>viacročného finančného rámca</w:t>
      </w:r>
      <w:r w:rsidRPr="00FD42D0">
        <w:t xml:space="preserve">, a v dôsledku toho sú náklady na zamestnancov a prevádzku decentralizovaných agentúr pod značným tlakom a domnieva sa, že súčasné zaobchádzanie s rozpočtami decentralizovaných agentúr oddelene od administratívnych výdavkov v rámci okruhu 7 </w:t>
      </w:r>
      <w:r w:rsidR="00FD6E6A" w:rsidRPr="00FD42D0">
        <w:t>viacročného finančného rámca</w:t>
      </w:r>
      <w:r w:rsidR="00FD6E6A" w:rsidRPr="00FD42D0" w:rsidDel="00FD6E6A">
        <w:t xml:space="preserve"> </w:t>
      </w:r>
      <w:r w:rsidRPr="00FD42D0">
        <w:t xml:space="preserve">si vyžaduje ďalšie úvahy v rámci príprav Komisie na </w:t>
      </w:r>
      <w:r w:rsidR="00FD6E6A" w:rsidRPr="00FD42D0">
        <w:t>viacročný finančný rámec</w:t>
      </w:r>
      <w:r w:rsidR="00FD6E6A" w:rsidRPr="00FD42D0" w:rsidDel="00FD6E6A">
        <w:t xml:space="preserve"> </w:t>
      </w:r>
      <w:r w:rsidRPr="00FD42D0">
        <w:t>na obdobie po roku 2027;</w:t>
      </w:r>
    </w:p>
    <w:p w14:paraId="20E83040" w14:textId="77777777" w:rsidR="00860F99" w:rsidRPr="00FD42D0" w:rsidRDefault="00860F99" w:rsidP="00860F99">
      <w:pPr>
        <w:pStyle w:val="NormalHanging12a"/>
      </w:pPr>
      <w:r w:rsidRPr="00FD42D0">
        <w:t>8.</w:t>
      </w:r>
      <w:r w:rsidRPr="00FD42D0">
        <w:tab/>
        <w:t>schvaľuje pozíciu Rady k návrhu opravného rozpočtu č. 4/2024;</w:t>
      </w:r>
    </w:p>
    <w:p w14:paraId="068FDA20" w14:textId="77777777" w:rsidR="00860F99" w:rsidRPr="00FD42D0" w:rsidRDefault="00860F99" w:rsidP="00860F99">
      <w:pPr>
        <w:pStyle w:val="NormalHanging12a"/>
      </w:pPr>
      <w:r w:rsidRPr="00FD42D0">
        <w:t>9.</w:t>
      </w:r>
      <w:r w:rsidRPr="00FD42D0">
        <w:tab/>
        <w:t>poveruje svoju predsedníčku, aby vyhlásila opravný rozpočet č. 4/2024 za prijatý s konečnou platnosťou a aby zabezpečila jeho uverejnenie v</w:t>
      </w:r>
      <w:r w:rsidRPr="00FD42D0">
        <w:rPr>
          <w:i/>
          <w:iCs/>
        </w:rPr>
        <w:t xml:space="preserve"> Úradnom vestníku Európskej únie</w:t>
      </w:r>
      <w:r w:rsidRPr="00FD42D0">
        <w:t>;</w:t>
      </w:r>
    </w:p>
    <w:p w14:paraId="57AFAD0E" w14:textId="77777777" w:rsidR="00860F99" w:rsidRPr="00FD42D0" w:rsidRDefault="00860F99" w:rsidP="00860F99">
      <w:pPr>
        <w:pStyle w:val="NormalHanging12a"/>
      </w:pPr>
      <w:r w:rsidRPr="00FD42D0">
        <w:t>10.</w:t>
      </w:r>
      <w:r w:rsidRPr="00FD42D0">
        <w:tab/>
        <w:t>poveruje svoju predsedníčku, aby postúpila toto uznesenie Rade, Komisii a ďalším príslušným inštitúciám a orgánom, ako aj národným parlamentom.</w:t>
      </w:r>
    </w:p>
    <w:sectPr w:rsidR="00860F99" w:rsidRPr="00FD42D0" w:rsidSect="00CB6A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0ECC0" w14:textId="77777777" w:rsidR="00F81CD6" w:rsidRPr="00CB6A6D" w:rsidRDefault="00F81CD6">
      <w:r w:rsidRPr="00CB6A6D">
        <w:separator/>
      </w:r>
    </w:p>
  </w:endnote>
  <w:endnote w:type="continuationSeparator" w:id="0">
    <w:p w14:paraId="7EDBED4B" w14:textId="77777777" w:rsidR="00F81CD6" w:rsidRPr="00CB6A6D" w:rsidRDefault="00F81CD6">
      <w:r w:rsidRPr="00CB6A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D8087" w14:textId="77777777" w:rsidR="00064002" w:rsidRPr="00CB6A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C8673" w14:textId="77777777" w:rsidR="00064002" w:rsidRPr="00CB6A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4AD98" w14:textId="77777777" w:rsidR="00064002" w:rsidRPr="00CB6A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14B0C" w14:textId="77777777" w:rsidR="00F81CD6" w:rsidRPr="00CB6A6D" w:rsidRDefault="00F81CD6">
      <w:r w:rsidRPr="00CB6A6D">
        <w:separator/>
      </w:r>
    </w:p>
  </w:footnote>
  <w:footnote w:type="continuationSeparator" w:id="0">
    <w:p w14:paraId="72E53D7F" w14:textId="77777777" w:rsidR="00F81CD6" w:rsidRPr="00CB6A6D" w:rsidRDefault="00F81CD6">
      <w:r w:rsidRPr="00CB6A6D">
        <w:continuationSeparator/>
      </w:r>
    </w:p>
  </w:footnote>
  <w:footnote w:id="1">
    <w:p w14:paraId="1D018BBC" w14:textId="1056A7D0" w:rsidR="00860F99" w:rsidRPr="00FD42D0" w:rsidRDefault="00860F99" w:rsidP="00CB6A6D">
      <w:pPr>
        <w:pStyle w:val="FootnoteText"/>
        <w:ind w:left="567" w:hanging="567"/>
        <w:rPr>
          <w:sz w:val="24"/>
          <w:szCs w:val="24"/>
          <w:lang w:val="sk-SK"/>
        </w:rPr>
      </w:pPr>
      <w:r w:rsidRPr="00FD42D0">
        <w:rPr>
          <w:rStyle w:val="FootnoteReference"/>
          <w:sz w:val="24"/>
          <w:szCs w:val="24"/>
          <w:lang w:val="sk-SK"/>
        </w:rPr>
        <w:footnoteRef/>
      </w:r>
      <w:r w:rsidR="00CB6A6D" w:rsidRPr="00FD42D0">
        <w:rPr>
          <w:sz w:val="24"/>
          <w:szCs w:val="24"/>
          <w:lang w:val="sk-SK"/>
        </w:rPr>
        <w:t xml:space="preserve"> </w:t>
      </w:r>
      <w:r w:rsidR="00CB6A6D" w:rsidRPr="00FD42D0">
        <w:rPr>
          <w:sz w:val="24"/>
          <w:szCs w:val="24"/>
          <w:lang w:val="sk-SK"/>
        </w:rPr>
        <w:tab/>
      </w:r>
      <w:r w:rsidRPr="00FD42D0">
        <w:rPr>
          <w:sz w:val="24"/>
          <w:szCs w:val="24"/>
          <w:lang w:val="sk-SK"/>
        </w:rPr>
        <w:t xml:space="preserve">Ú. v. EÚ L 193, 30.7.2018, s. 1, ELI: </w:t>
      </w:r>
      <w:hyperlink r:id="rId1" w:history="1">
        <w:r w:rsidR="000A0CC4" w:rsidRPr="00FD42D0">
          <w:rPr>
            <w:rStyle w:val="Hyperlink"/>
            <w:sz w:val="24"/>
            <w:szCs w:val="24"/>
            <w:lang w:val="fi-FI"/>
          </w:rPr>
          <w:t>http://data.europa.eu/eli/reg/2018/1046/oj</w:t>
        </w:r>
      </w:hyperlink>
      <w:r w:rsidR="000A0CC4" w:rsidRPr="00FD42D0">
        <w:rPr>
          <w:rStyle w:val="Hyperlink"/>
          <w:sz w:val="24"/>
          <w:szCs w:val="24"/>
          <w:lang w:val="fi-FI"/>
        </w:rPr>
        <w:t>.</w:t>
      </w:r>
    </w:p>
  </w:footnote>
  <w:footnote w:id="2">
    <w:p w14:paraId="5F5A7C25" w14:textId="677084CB" w:rsidR="00860F99" w:rsidRPr="00FD42D0" w:rsidRDefault="00860F99" w:rsidP="00CB6A6D">
      <w:pPr>
        <w:pStyle w:val="FootnoteText"/>
        <w:ind w:left="567" w:hanging="567"/>
        <w:rPr>
          <w:sz w:val="24"/>
          <w:szCs w:val="24"/>
          <w:lang w:val="sk-SK"/>
        </w:rPr>
      </w:pPr>
      <w:r w:rsidRPr="00FD42D0">
        <w:rPr>
          <w:rStyle w:val="FootnoteReference"/>
          <w:sz w:val="24"/>
          <w:szCs w:val="24"/>
          <w:lang w:val="sk-SK"/>
        </w:rPr>
        <w:footnoteRef/>
      </w:r>
      <w:r w:rsidR="00CB6A6D" w:rsidRPr="00FD42D0">
        <w:rPr>
          <w:sz w:val="24"/>
          <w:szCs w:val="24"/>
          <w:lang w:val="sk-SK"/>
        </w:rPr>
        <w:t xml:space="preserve"> </w:t>
      </w:r>
      <w:r w:rsidR="00CB6A6D" w:rsidRPr="00FD42D0">
        <w:rPr>
          <w:sz w:val="24"/>
          <w:szCs w:val="24"/>
          <w:lang w:val="sk-SK"/>
        </w:rPr>
        <w:tab/>
      </w:r>
      <w:r w:rsidRPr="00FD42D0">
        <w:rPr>
          <w:sz w:val="24"/>
          <w:szCs w:val="24"/>
          <w:lang w:val="sk-SK"/>
        </w:rPr>
        <w:t xml:space="preserve">Ú. v. EÚ L, 2024/2509, 26.9.2024, </w:t>
      </w:r>
      <w:hyperlink r:id="rId2" w:history="1">
        <w:r w:rsidR="000A0CC4" w:rsidRPr="00FD42D0">
          <w:rPr>
            <w:rStyle w:val="Hyperlink"/>
            <w:sz w:val="24"/>
            <w:szCs w:val="24"/>
            <w:lang w:val="es-ES"/>
          </w:rPr>
          <w:t>http://data.europa.eu/eli/reg/2024/2509/oj</w:t>
        </w:r>
      </w:hyperlink>
      <w:r w:rsidR="000A0CC4" w:rsidRPr="00FD42D0">
        <w:rPr>
          <w:rStyle w:val="Hyperlink"/>
          <w:sz w:val="24"/>
          <w:szCs w:val="24"/>
          <w:lang w:val="es-ES"/>
        </w:rPr>
        <w:t>.</w:t>
      </w:r>
    </w:p>
  </w:footnote>
  <w:footnote w:id="3">
    <w:p w14:paraId="2D5970E8" w14:textId="62A33C5B" w:rsidR="00860F99" w:rsidRPr="00FD42D0" w:rsidRDefault="00860F99" w:rsidP="00CB6A6D">
      <w:pPr>
        <w:pStyle w:val="FootnoteText"/>
        <w:ind w:left="567" w:hanging="567"/>
        <w:rPr>
          <w:sz w:val="24"/>
          <w:szCs w:val="24"/>
          <w:lang w:val="sk-SK"/>
        </w:rPr>
      </w:pPr>
      <w:r w:rsidRPr="00FD42D0">
        <w:rPr>
          <w:rStyle w:val="FootnoteReference"/>
          <w:sz w:val="24"/>
          <w:szCs w:val="24"/>
          <w:lang w:val="sk-SK"/>
        </w:rPr>
        <w:footnoteRef/>
      </w:r>
      <w:r w:rsidR="00CB6A6D" w:rsidRPr="00FD42D0">
        <w:rPr>
          <w:sz w:val="24"/>
          <w:szCs w:val="24"/>
          <w:lang w:val="sk-SK"/>
        </w:rPr>
        <w:t xml:space="preserve"> </w:t>
      </w:r>
      <w:r w:rsidR="00CB6A6D" w:rsidRPr="00FD42D0">
        <w:rPr>
          <w:sz w:val="24"/>
          <w:szCs w:val="24"/>
          <w:lang w:val="sk-SK"/>
        </w:rPr>
        <w:tab/>
      </w:r>
      <w:r w:rsidRPr="00FD42D0">
        <w:rPr>
          <w:sz w:val="24"/>
          <w:szCs w:val="24"/>
          <w:lang w:val="sk-SK"/>
        </w:rPr>
        <w:t xml:space="preserve">Ú. v. EÚ L, 2024/207, 22.2.2024, ELI: </w:t>
      </w:r>
      <w:hyperlink r:id="rId3" w:history="1">
        <w:r w:rsidR="000A0CC4" w:rsidRPr="00FD42D0">
          <w:rPr>
            <w:rStyle w:val="Hyperlink"/>
            <w:sz w:val="24"/>
            <w:szCs w:val="24"/>
            <w:lang w:val="fi-FI"/>
          </w:rPr>
          <w:t>http://data.europa.eu/eli/budget/2024/207/oj</w:t>
        </w:r>
      </w:hyperlink>
      <w:r w:rsidR="000A0CC4" w:rsidRPr="00FD42D0">
        <w:rPr>
          <w:rStyle w:val="Hyperlink"/>
          <w:sz w:val="24"/>
          <w:szCs w:val="24"/>
          <w:lang w:val="fi-FI"/>
        </w:rPr>
        <w:t>.</w:t>
      </w:r>
    </w:p>
  </w:footnote>
  <w:footnote w:id="4">
    <w:p w14:paraId="5B4D4979" w14:textId="2B4F5C61" w:rsidR="00860F99" w:rsidRPr="00FD42D0" w:rsidRDefault="00860F99" w:rsidP="00CB6A6D">
      <w:pPr>
        <w:pStyle w:val="FootnoteText"/>
        <w:ind w:left="567" w:hanging="567"/>
        <w:rPr>
          <w:sz w:val="24"/>
          <w:szCs w:val="24"/>
          <w:lang w:val="sk-SK"/>
        </w:rPr>
      </w:pPr>
      <w:r w:rsidRPr="00FD42D0">
        <w:rPr>
          <w:rStyle w:val="FootnoteReference"/>
          <w:sz w:val="24"/>
          <w:szCs w:val="24"/>
          <w:lang w:val="sk-SK"/>
        </w:rPr>
        <w:footnoteRef/>
      </w:r>
      <w:r w:rsidR="00CB6A6D" w:rsidRPr="00FD42D0">
        <w:rPr>
          <w:sz w:val="24"/>
          <w:szCs w:val="24"/>
          <w:lang w:val="sk-SK"/>
        </w:rPr>
        <w:t xml:space="preserve"> </w:t>
      </w:r>
      <w:r w:rsidR="00CB6A6D" w:rsidRPr="00FD42D0">
        <w:rPr>
          <w:sz w:val="24"/>
          <w:szCs w:val="24"/>
          <w:lang w:val="sk-SK"/>
        </w:rPr>
        <w:tab/>
      </w:r>
      <w:r w:rsidRPr="00FD42D0">
        <w:rPr>
          <w:sz w:val="24"/>
          <w:szCs w:val="24"/>
          <w:lang w:val="sk-SK"/>
        </w:rPr>
        <w:t xml:space="preserve">Ú. v. EÚ L 433 I, 22.12.2020, s. 11, ELI: </w:t>
      </w:r>
      <w:hyperlink r:id="rId4" w:history="1">
        <w:r w:rsidR="000A0CC4" w:rsidRPr="00FD42D0">
          <w:rPr>
            <w:rStyle w:val="Hyperlink"/>
            <w:sz w:val="24"/>
            <w:szCs w:val="24"/>
            <w:lang w:val="fi-FI"/>
          </w:rPr>
          <w:t>http://data.europa.eu/eli/reg/2020/2093/oj</w:t>
        </w:r>
      </w:hyperlink>
      <w:r w:rsidR="000A0CC4" w:rsidRPr="00FD42D0">
        <w:rPr>
          <w:rStyle w:val="Hyperlink"/>
          <w:sz w:val="24"/>
          <w:szCs w:val="24"/>
          <w:lang w:val="fi-FI"/>
        </w:rPr>
        <w:t>.</w:t>
      </w:r>
    </w:p>
  </w:footnote>
  <w:footnote w:id="5">
    <w:p w14:paraId="3F0894F4" w14:textId="78849598" w:rsidR="00860F99" w:rsidRPr="00FD42D0" w:rsidRDefault="00860F99" w:rsidP="00CB6A6D">
      <w:pPr>
        <w:pStyle w:val="FootnoteText"/>
        <w:ind w:left="567" w:hanging="567"/>
        <w:rPr>
          <w:sz w:val="24"/>
          <w:szCs w:val="24"/>
          <w:lang w:val="sk-SK"/>
        </w:rPr>
      </w:pPr>
      <w:r w:rsidRPr="00FD42D0">
        <w:rPr>
          <w:rStyle w:val="FootnoteReference"/>
          <w:sz w:val="24"/>
          <w:szCs w:val="24"/>
          <w:lang w:val="sk-SK"/>
        </w:rPr>
        <w:footnoteRef/>
      </w:r>
      <w:r w:rsidR="00CB6A6D" w:rsidRPr="00FD42D0">
        <w:rPr>
          <w:sz w:val="24"/>
          <w:szCs w:val="24"/>
          <w:lang w:val="sk-SK"/>
        </w:rPr>
        <w:t xml:space="preserve"> </w:t>
      </w:r>
      <w:r w:rsidR="00CB6A6D" w:rsidRPr="00FD42D0">
        <w:rPr>
          <w:sz w:val="24"/>
          <w:szCs w:val="24"/>
          <w:lang w:val="sk-SK"/>
        </w:rPr>
        <w:tab/>
      </w:r>
      <w:r w:rsidRPr="00FD42D0">
        <w:rPr>
          <w:sz w:val="24"/>
          <w:szCs w:val="24"/>
          <w:lang w:val="sk-SK"/>
        </w:rPr>
        <w:t xml:space="preserve">Ú. v. EÚ L 433 I, 22.12.2020, s. 28, ELI: </w:t>
      </w:r>
      <w:hyperlink r:id="rId5" w:history="1">
        <w:r w:rsidRPr="00FD42D0">
          <w:rPr>
            <w:rStyle w:val="Hyperlink"/>
            <w:sz w:val="24"/>
            <w:szCs w:val="24"/>
            <w:lang w:val="sk-SK"/>
          </w:rPr>
          <w:t>https://eur-lex.europa.eu/eli/agree_interinstit/2020/1222/oj</w:t>
        </w:r>
      </w:hyperlink>
      <w:r w:rsidR="000A0CC4" w:rsidRPr="00FD42D0">
        <w:rPr>
          <w:rStyle w:val="Hyperlink"/>
          <w:sz w:val="24"/>
          <w:szCs w:val="24"/>
          <w:lang w:val="sk-SK"/>
        </w:rPr>
        <w:t>.</w:t>
      </w:r>
    </w:p>
  </w:footnote>
  <w:footnote w:id="6">
    <w:p w14:paraId="474720FE" w14:textId="297B4D9C" w:rsidR="00860F99" w:rsidRPr="00FD42D0" w:rsidRDefault="00860F99" w:rsidP="00CB6A6D">
      <w:pPr>
        <w:pStyle w:val="FootnoteText"/>
        <w:ind w:left="567" w:hanging="567"/>
        <w:rPr>
          <w:sz w:val="24"/>
          <w:szCs w:val="24"/>
          <w:lang w:val="sk-SK"/>
        </w:rPr>
      </w:pPr>
      <w:r w:rsidRPr="00FD42D0">
        <w:rPr>
          <w:rStyle w:val="FootnoteReference"/>
          <w:sz w:val="24"/>
          <w:szCs w:val="24"/>
          <w:lang w:val="sk-SK"/>
        </w:rPr>
        <w:footnoteRef/>
      </w:r>
      <w:r w:rsidR="00CB6A6D" w:rsidRPr="00FD42D0">
        <w:rPr>
          <w:sz w:val="24"/>
          <w:szCs w:val="24"/>
          <w:lang w:val="sk-SK"/>
        </w:rPr>
        <w:t xml:space="preserve"> </w:t>
      </w:r>
      <w:r w:rsidR="00CB6A6D" w:rsidRPr="00FD42D0">
        <w:rPr>
          <w:sz w:val="24"/>
          <w:szCs w:val="24"/>
          <w:lang w:val="sk-SK"/>
        </w:rPr>
        <w:tab/>
      </w:r>
      <w:r w:rsidRPr="00FD42D0">
        <w:rPr>
          <w:sz w:val="24"/>
          <w:szCs w:val="24"/>
          <w:lang w:val="sk-SK"/>
        </w:rPr>
        <w:t xml:space="preserve">Ú. v. EÚ L 424, 15.12.2020, s. 1, ELI: </w:t>
      </w:r>
      <w:hyperlink r:id="rId6" w:history="1">
        <w:r w:rsidR="000A0CC4" w:rsidRPr="00FD42D0">
          <w:rPr>
            <w:rStyle w:val="Hyperlink"/>
            <w:sz w:val="24"/>
            <w:szCs w:val="24"/>
            <w:lang w:val="fi-FI"/>
          </w:rPr>
          <w:t>http://data.europa.eu/eli/dec/2020/2053/oj</w:t>
        </w:r>
      </w:hyperlink>
      <w:r w:rsidR="000A0CC4" w:rsidRPr="00FD42D0">
        <w:rPr>
          <w:rStyle w:val="Hyperlink"/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47B3F" w14:textId="77777777" w:rsidR="00064002" w:rsidRPr="00CB6A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3AF18" w14:textId="77777777" w:rsidR="00064002" w:rsidRPr="00CB6A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2F8E6" w14:textId="77777777" w:rsidR="00064002" w:rsidRPr="00CB6A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SK"/>
    <w:docVar w:name="dvnumam" w:val="0"/>
    <w:docVar w:name="dvpe" w:val="763.032"/>
    <w:docVar w:name="dvrapporteur" w:val="Spravodajca: "/>
    <w:docVar w:name="dvtitre" w:val="Uznesenie Európskeho parlamentu z xx. októbra 2024 o pozícii Rady k návrhu opravného rozpočtu Európskej únie č. 4/2024 na rozpočtový rok 2024 – aktualizácia príjmov (vlastné zdroje) a úpravy týkajúce sa niektorých decentralizovaných agentúr(13195/2024 – C10-0109/2024 – 2024/0185(BUD))"/>
  </w:docVars>
  <w:rsids>
    <w:rsidRoot w:val="00F81CD6"/>
    <w:rsid w:val="00002272"/>
    <w:rsid w:val="00064002"/>
    <w:rsid w:val="000677B9"/>
    <w:rsid w:val="000831BA"/>
    <w:rsid w:val="000A0CC4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7F3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00B"/>
    <w:rsid w:val="00817416"/>
    <w:rsid w:val="00842779"/>
    <w:rsid w:val="00860F99"/>
    <w:rsid w:val="00865F67"/>
    <w:rsid w:val="00881A7B"/>
    <w:rsid w:val="008840E5"/>
    <w:rsid w:val="00887B3E"/>
    <w:rsid w:val="008C2AC6"/>
    <w:rsid w:val="00930C23"/>
    <w:rsid w:val="0093193B"/>
    <w:rsid w:val="00933CE6"/>
    <w:rsid w:val="009509D8"/>
    <w:rsid w:val="00950B64"/>
    <w:rsid w:val="00981893"/>
    <w:rsid w:val="009D221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603"/>
    <w:rsid w:val="00BD48FE"/>
    <w:rsid w:val="00BD7BD8"/>
    <w:rsid w:val="00BE6ADC"/>
    <w:rsid w:val="00C05BFE"/>
    <w:rsid w:val="00C23CD4"/>
    <w:rsid w:val="00C61C0C"/>
    <w:rsid w:val="00C941CB"/>
    <w:rsid w:val="00CB6A6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CD6"/>
    <w:rsid w:val="00F87713"/>
    <w:rsid w:val="00FB4360"/>
    <w:rsid w:val="00FD0C70"/>
    <w:rsid w:val="00FD42D0"/>
    <w:rsid w:val="00FD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C69CC7"/>
  <w15:chartTrackingRefBased/>
  <w15:docId w15:val="{EEA40C79-EB1C-4F6F-A8FA-F2B25E5FD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60F99"/>
    <w:pPr>
      <w:spacing w:before="480" w:after="240"/>
    </w:pPr>
  </w:style>
  <w:style w:type="paragraph" w:customStyle="1" w:styleId="NormalHanging12a">
    <w:name w:val="NormalHanging12a"/>
    <w:basedOn w:val="Normal"/>
    <w:rsid w:val="00860F9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60F9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9D22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221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2218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9D22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2218"/>
    <w:rPr>
      <w:b/>
      <w:bCs/>
      <w:lang w:val="sk-SK"/>
    </w:rPr>
  </w:style>
  <w:style w:type="paragraph" w:styleId="Revision">
    <w:name w:val="Revision"/>
    <w:hidden/>
    <w:uiPriority w:val="99"/>
    <w:semiHidden/>
    <w:rsid w:val="009D2218"/>
    <w:rPr>
      <w:sz w:val="24"/>
      <w:lang w:val="sk-SK"/>
    </w:rPr>
  </w:style>
  <w:style w:type="paragraph" w:styleId="BalloonText">
    <w:name w:val="Balloon Text"/>
    <w:basedOn w:val="Normal"/>
    <w:link w:val="BalloonTextChar"/>
    <w:rsid w:val="009D22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2218"/>
    <w:rPr>
      <w:rFonts w:ascii="Segoe UI" w:hAnsi="Segoe UI" w:cs="Segoe UI"/>
      <w:sz w:val="18"/>
      <w:szCs w:val="18"/>
      <w:lang w:val="sk-SK"/>
    </w:rPr>
  </w:style>
  <w:style w:type="character" w:styleId="FollowedHyperlink">
    <w:name w:val="FollowedHyperlink"/>
    <w:basedOn w:val="DefaultParagraphFont"/>
    <w:rsid w:val="000A0C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reg/2018/1046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0A4B9-5C0A-4064-9789-F1E29EBE0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2024-10-22T09:39:00Z</dcterms:created>
  <dcterms:modified xsi:type="dcterms:W3CDTF">2024-10-22T09:39:00Z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A10-0007/2024</vt:lpwstr>
  </property>
  <property fmtid="{D5CDD505-2E9C-101B-9397-08002B2CF9AE}" pid="4" name="&lt;Type&gt;">
    <vt:lpwstr>RR</vt:lpwstr>
  </property>
</Properties>
</file>