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A2A20" w:rsidTr="0010095E">
        <w:trPr>
          <w:trHeight w:hRule="exact" w:val="1418"/>
        </w:trPr>
        <w:tc>
          <w:tcPr>
            <w:tcW w:w="6804" w:type="dxa"/>
            <w:shd w:val="clear" w:color="auto" w:fill="auto"/>
            <w:vAlign w:val="center"/>
          </w:tcPr>
          <w:p w:rsidR="00751A4A" w:rsidRPr="007A2A20" w:rsidRDefault="00A717D7" w:rsidP="0010095E">
            <w:pPr>
              <w:pStyle w:val="EPName"/>
            </w:pPr>
            <w:r w:rsidRPr="007A2A20">
              <w:t>Europaparlamentet</w:t>
            </w:r>
          </w:p>
          <w:p w:rsidR="00751A4A" w:rsidRPr="007A2A20" w:rsidRDefault="005F1B17" w:rsidP="005F1B17">
            <w:pPr>
              <w:pStyle w:val="EPTerm"/>
              <w:rPr>
                <w:rStyle w:val="HideTWBExt"/>
                <w:noProof w:val="0"/>
                <w:vanish w:val="0"/>
                <w:color w:val="auto"/>
              </w:rPr>
            </w:pPr>
            <w:r w:rsidRPr="007A2A20">
              <w:t>2024</w:t>
            </w:r>
            <w:r w:rsidR="00817416" w:rsidRPr="007A2A20">
              <w:t>-202</w:t>
            </w:r>
            <w:r w:rsidRPr="007A2A20">
              <w:t>9</w:t>
            </w:r>
          </w:p>
        </w:tc>
        <w:tc>
          <w:tcPr>
            <w:tcW w:w="2268" w:type="dxa"/>
            <w:shd w:val="clear" w:color="auto" w:fill="auto"/>
          </w:tcPr>
          <w:p w:rsidR="00751A4A" w:rsidRPr="007A2A20" w:rsidRDefault="00187494" w:rsidP="0010095E">
            <w:pPr>
              <w:pStyle w:val="EPLogo"/>
            </w:pPr>
            <w:r w:rsidRPr="007A2A2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A2A20" w:rsidRDefault="00D058B8" w:rsidP="004C5D52">
      <w:pPr>
        <w:pStyle w:val="LineTop"/>
      </w:pPr>
    </w:p>
    <w:p w:rsidR="00680577" w:rsidRPr="007A2A20" w:rsidRDefault="00A717D7" w:rsidP="00680577">
      <w:pPr>
        <w:pStyle w:val="EPBodyTA1"/>
      </w:pPr>
      <w:r w:rsidRPr="007A2A20">
        <w:t>ANTAGNA TEXTER</w:t>
      </w:r>
    </w:p>
    <w:p w:rsidR="00D058B8" w:rsidRPr="007A2A20" w:rsidRDefault="00D058B8" w:rsidP="00D058B8">
      <w:pPr>
        <w:pStyle w:val="LineBottom"/>
      </w:pPr>
    </w:p>
    <w:p w:rsidR="00A717D7" w:rsidRPr="007A2A20" w:rsidRDefault="00A717D7" w:rsidP="00A717D7">
      <w:pPr>
        <w:pStyle w:val="ATHeading1"/>
      </w:pPr>
      <w:bookmarkStart w:id="0" w:name="TANumber"/>
      <w:r w:rsidRPr="007A2A20">
        <w:t>P10_TA(2024)00</w:t>
      </w:r>
      <w:bookmarkEnd w:id="0"/>
      <w:r w:rsidR="000020FB">
        <w:t>24</w:t>
      </w:r>
    </w:p>
    <w:p w:rsidR="00A717D7" w:rsidRPr="007A2A20" w:rsidRDefault="00A717D7" w:rsidP="00A717D7">
      <w:pPr>
        <w:pStyle w:val="ATHeading2"/>
      </w:pPr>
      <w:bookmarkStart w:id="1" w:name="title"/>
      <w:r w:rsidRPr="007A2A20">
        <w:t>Förslag till ändringsbudget nr 4/2024: uppdatering av inkomster (egna medel) och justeringar avseende vissa decentraliserade byråer</w:t>
      </w:r>
      <w:bookmarkEnd w:id="1"/>
    </w:p>
    <w:p w:rsidR="00A717D7" w:rsidRPr="007A2A20" w:rsidRDefault="00A717D7" w:rsidP="00A717D7">
      <w:pPr>
        <w:rPr>
          <w:i/>
          <w:vanish/>
        </w:rPr>
      </w:pPr>
      <w:r w:rsidRPr="007A2A20">
        <w:rPr>
          <w:i/>
        </w:rPr>
        <w:fldChar w:fldCharType="begin"/>
      </w:r>
      <w:r w:rsidRPr="007A2A20">
        <w:rPr>
          <w:i/>
        </w:rPr>
        <w:instrText xml:space="preserve"> TC"(</w:instrText>
      </w:r>
      <w:bookmarkStart w:id="2" w:name="DocNumber"/>
      <w:r w:rsidRPr="007A2A20">
        <w:rPr>
          <w:i/>
        </w:rPr>
        <w:instrText>A10-0007/2024</w:instrText>
      </w:r>
      <w:bookmarkEnd w:id="2"/>
      <w:r w:rsidRPr="007A2A20">
        <w:rPr>
          <w:i/>
        </w:rPr>
        <w:instrText xml:space="preserve"> - Föredragande: Siegfried Mureşan)"\l3 \n&gt; \* MERGEFORMAT </w:instrText>
      </w:r>
      <w:r w:rsidRPr="007A2A20">
        <w:rPr>
          <w:i/>
        </w:rPr>
        <w:fldChar w:fldCharType="end"/>
      </w:r>
    </w:p>
    <w:p w:rsidR="00A717D7" w:rsidRPr="007A2A20" w:rsidRDefault="00A717D7" w:rsidP="00A717D7">
      <w:pPr>
        <w:rPr>
          <w:vanish/>
        </w:rPr>
      </w:pPr>
      <w:bookmarkStart w:id="3" w:name="Commission"/>
      <w:r w:rsidRPr="007A2A20">
        <w:rPr>
          <w:vanish/>
        </w:rPr>
        <w:t>Budgetutskottet</w:t>
      </w:r>
      <w:bookmarkEnd w:id="3"/>
    </w:p>
    <w:p w:rsidR="00A717D7" w:rsidRPr="007A2A20" w:rsidRDefault="00A717D7" w:rsidP="00A717D7">
      <w:pPr>
        <w:rPr>
          <w:vanish/>
        </w:rPr>
      </w:pPr>
      <w:bookmarkStart w:id="4" w:name="PE"/>
      <w:r w:rsidRPr="007A2A20">
        <w:rPr>
          <w:vanish/>
        </w:rPr>
        <w:t>PE763.032</w:t>
      </w:r>
      <w:bookmarkEnd w:id="4"/>
    </w:p>
    <w:p w:rsidR="00A717D7" w:rsidRPr="007A2A20" w:rsidRDefault="00A717D7" w:rsidP="00A717D7">
      <w:pPr>
        <w:pStyle w:val="ATHeading3"/>
      </w:pPr>
      <w:bookmarkStart w:id="5" w:name="Sujet"/>
      <w:r w:rsidRPr="007A2A20">
        <w:t xml:space="preserve">Europaparlamentets resolution av den </w:t>
      </w:r>
      <w:r w:rsidR="00487BD1" w:rsidRPr="007A2A20">
        <w:t xml:space="preserve">22 oktober </w:t>
      </w:r>
      <w:r w:rsidRPr="007A2A20">
        <w:t>2024 om rådets ståndpunkt om förslaget till Europeiska unionens ändringsbudget nr 4/2024 för budgetåret 2024: Uppdatering av inkomster (egna medel) och justeringar avseende vissa decentraliserade byråer</w:t>
      </w:r>
      <w:bookmarkEnd w:id="5"/>
      <w:r w:rsidRPr="007A2A20">
        <w:t xml:space="preserve"> </w:t>
      </w:r>
      <w:bookmarkStart w:id="6" w:name="References"/>
      <w:r w:rsidRPr="007A2A20">
        <w:t>(13195/2024 – C10-0109/2024 – 2024/0185(BUD))</w:t>
      </w:r>
      <w:bookmarkEnd w:id="6"/>
    </w:p>
    <w:p w:rsidR="00446DF6" w:rsidRPr="007A2A20" w:rsidRDefault="00446DF6" w:rsidP="00446DF6">
      <w:pPr>
        <w:pStyle w:val="EPComma"/>
      </w:pPr>
      <w:bookmarkStart w:id="7" w:name="TextBodyBegin"/>
      <w:bookmarkEnd w:id="7"/>
      <w:r w:rsidRPr="007A2A20">
        <w:rPr>
          <w:i/>
          <w:iCs/>
        </w:rPr>
        <w:t>Europaparlamentet utfärdar denna resolution</w:t>
      </w:r>
    </w:p>
    <w:p w:rsidR="00446DF6" w:rsidRPr="007A2A20" w:rsidRDefault="00446DF6" w:rsidP="00446DF6">
      <w:pPr>
        <w:pStyle w:val="NormalHanging12a"/>
      </w:pPr>
      <w:r w:rsidRPr="007A2A20">
        <w:t>–</w:t>
      </w:r>
      <w:r w:rsidRPr="007A2A20">
        <w:tab/>
        <w:t>med beaktande av artikel 314 i fördraget om Europeiska unionens funktionssätt,</w:t>
      </w:r>
    </w:p>
    <w:p w:rsidR="00446DF6" w:rsidRPr="007A2A20" w:rsidRDefault="00446DF6" w:rsidP="00446DF6">
      <w:pPr>
        <w:pStyle w:val="NormalHanging12a"/>
      </w:pPr>
      <w:r w:rsidRPr="007A2A20">
        <w:t>–</w:t>
      </w:r>
      <w:r w:rsidRPr="007A2A20">
        <w:tab/>
        <w:t>med beaktande av artikel 106a i fördraget om upprättandet av Europeiska atomenergigemenskapen,</w:t>
      </w:r>
    </w:p>
    <w:p w:rsidR="00446DF6" w:rsidRPr="007A2A20" w:rsidRDefault="00446DF6" w:rsidP="00446DF6">
      <w:pPr>
        <w:pStyle w:val="NormalHanging12a"/>
      </w:pPr>
      <w:r w:rsidRPr="007A2A20">
        <w:t>–</w:t>
      </w:r>
      <w:r w:rsidRPr="007A2A20">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7A2A20">
        <w:rPr>
          <w:rStyle w:val="FootnoteReference"/>
        </w:rPr>
        <w:footnoteReference w:id="1"/>
      </w:r>
      <w:r w:rsidRPr="007A2A20">
        <w:t>, särskilt artikel 44,</w:t>
      </w:r>
    </w:p>
    <w:p w:rsidR="00446DF6" w:rsidRPr="007A2A20" w:rsidRDefault="00446DF6" w:rsidP="00446DF6">
      <w:pPr>
        <w:pStyle w:val="NormalHanging12a"/>
      </w:pPr>
      <w:r w:rsidRPr="007A2A20">
        <w:t>–</w:t>
      </w:r>
      <w:r w:rsidRPr="007A2A20">
        <w:tab/>
        <w:t>med beaktande av Europaparlamentets och rådets förordning (EU, Euratom) 2024/2509 av den 23 september 2024 om finansiella regler för unionens allmänna budget</w:t>
      </w:r>
      <w:r w:rsidRPr="007A2A20">
        <w:rPr>
          <w:rStyle w:val="FootnoteReference"/>
        </w:rPr>
        <w:footnoteReference w:id="2"/>
      </w:r>
      <w:r w:rsidRPr="007A2A20">
        <w:t>, särskilt artikel 44,</w:t>
      </w:r>
    </w:p>
    <w:p w:rsidR="00446DF6" w:rsidRPr="007A2A20" w:rsidRDefault="00446DF6" w:rsidP="00446DF6">
      <w:pPr>
        <w:pStyle w:val="NormalHanging12a"/>
      </w:pPr>
      <w:r w:rsidRPr="007A2A20">
        <w:t>–</w:t>
      </w:r>
      <w:r w:rsidRPr="007A2A20">
        <w:tab/>
        <w:t>med beaktande av Europeiska unionens allmänna budget för budgetåret 2024, slutgiltigt antagen den 22 november 2023</w:t>
      </w:r>
      <w:r w:rsidRPr="007A2A20">
        <w:rPr>
          <w:rStyle w:val="FootnoteReference"/>
        </w:rPr>
        <w:footnoteReference w:id="3"/>
      </w:r>
      <w:r w:rsidRPr="007A2A20">
        <w:t>,</w:t>
      </w:r>
    </w:p>
    <w:p w:rsidR="00446DF6" w:rsidRPr="007A2A20" w:rsidRDefault="00446DF6" w:rsidP="00446DF6">
      <w:pPr>
        <w:pStyle w:val="NormalHanging12a"/>
      </w:pPr>
      <w:r w:rsidRPr="007A2A20">
        <w:t>–</w:t>
      </w:r>
      <w:r w:rsidRPr="007A2A20">
        <w:tab/>
        <w:t xml:space="preserve">med beaktande av rådets förordning (EU, Euratom) 2020/2093 av </w:t>
      </w:r>
      <w:r w:rsidRPr="007A2A20">
        <w:lastRenderedPageBreak/>
        <w:t>den 17 december 2020 om den fleråriga budgetramen för 2021–2027</w:t>
      </w:r>
      <w:r w:rsidRPr="007A2A20">
        <w:rPr>
          <w:rStyle w:val="FootnoteReference"/>
        </w:rPr>
        <w:footnoteReference w:id="4"/>
      </w:r>
      <w:r w:rsidRPr="007A2A20">
        <w:t>,</w:t>
      </w:r>
    </w:p>
    <w:p w:rsidR="00446DF6" w:rsidRPr="007A2A20" w:rsidRDefault="00446DF6" w:rsidP="00446DF6">
      <w:pPr>
        <w:pStyle w:val="NormalHanging12a"/>
      </w:pPr>
      <w:r w:rsidRPr="007A2A20">
        <w:t>–</w:t>
      </w:r>
      <w:r w:rsidRPr="007A2A20">
        <w:tab/>
        <w:t>med beaktande av det interinstitutionella avtalet av den 16 december 2020 mellan Europaparlamentet, Europeiska unionens råd och Europeiska kommissionen om budgetdisciplin, samarbete i budgetfrågor och sund ekonomisk förvaltning samt om nya egna medel, inbegripet en färdplan för införandet av nya egna medel</w:t>
      </w:r>
      <w:r w:rsidRPr="007A2A20">
        <w:rPr>
          <w:rStyle w:val="FootnoteReference"/>
        </w:rPr>
        <w:footnoteReference w:id="5"/>
      </w:r>
      <w:r w:rsidRPr="007A2A20">
        <w:t>,</w:t>
      </w:r>
    </w:p>
    <w:p w:rsidR="00446DF6" w:rsidRPr="007A2A20" w:rsidRDefault="00446DF6" w:rsidP="00446DF6">
      <w:pPr>
        <w:pStyle w:val="NormalHanging12a"/>
      </w:pPr>
      <w:r w:rsidRPr="007A2A20">
        <w:t>–</w:t>
      </w:r>
      <w:r w:rsidRPr="007A2A20">
        <w:tab/>
        <w:t>med beaktande av rådets beslut (EU, Euratom) 2020/2053 av den 14 december 2020 om systemet för Europeiska unionens egna medel och om upphävande av beslut 2014/335/EU, Euratom</w:t>
      </w:r>
      <w:r w:rsidRPr="007A2A20">
        <w:rPr>
          <w:rStyle w:val="FootnoteReference"/>
        </w:rPr>
        <w:footnoteReference w:id="6"/>
      </w:r>
      <w:r w:rsidRPr="007A2A20">
        <w:t>,</w:t>
      </w:r>
    </w:p>
    <w:p w:rsidR="00446DF6" w:rsidRPr="007A2A20" w:rsidRDefault="00446DF6" w:rsidP="00446DF6">
      <w:pPr>
        <w:pStyle w:val="NormalHanging12a"/>
        <w:keepNext/>
        <w:keepLines/>
        <w:widowControl/>
      </w:pPr>
      <w:r w:rsidRPr="007A2A20">
        <w:t>–</w:t>
      </w:r>
      <w:r w:rsidRPr="007A2A20">
        <w:tab/>
        <w:t>med beaktande av det förslag till ändringsbudget nr 4/2024 som kommissionen antog den 19 juli 2024 (COM(2024)0931),</w:t>
      </w:r>
    </w:p>
    <w:p w:rsidR="00446DF6" w:rsidRPr="007A2A20" w:rsidRDefault="00446DF6" w:rsidP="00446DF6">
      <w:pPr>
        <w:pStyle w:val="NormalHanging12a"/>
      </w:pPr>
      <w:r w:rsidRPr="007A2A20">
        <w:t>–</w:t>
      </w:r>
      <w:r w:rsidRPr="007A2A20">
        <w:tab/>
        <w:t>med beaktande av den ståndpunkt om förslaget till ändringsbudget nr 4/2024 som rådet antog den 23 september 2024 och översände till Europaparlamentet den</w:t>
      </w:r>
      <w:r w:rsidR="00487BD1" w:rsidRPr="007A2A20">
        <w:t xml:space="preserve"> </w:t>
      </w:r>
      <w:r w:rsidRPr="007A2A20">
        <w:t>24</w:t>
      </w:r>
      <w:r w:rsidR="00487BD1" w:rsidRPr="007A2A20">
        <w:t xml:space="preserve"> </w:t>
      </w:r>
      <w:r w:rsidRPr="007A2A20">
        <w:t>september</w:t>
      </w:r>
      <w:r w:rsidR="00487BD1" w:rsidRPr="007A2A20">
        <w:t xml:space="preserve"> </w:t>
      </w:r>
      <w:r w:rsidRPr="007A2A20">
        <w:t>2024 (13195/2024 – C10</w:t>
      </w:r>
      <w:r w:rsidRPr="007A2A20">
        <w:noBreakHyphen/>
        <w:t>01</w:t>
      </w:r>
      <w:r w:rsidR="00C25E02">
        <w:t>0</w:t>
      </w:r>
      <w:r w:rsidRPr="007A2A20">
        <w:t>9/2024),</w:t>
      </w:r>
    </w:p>
    <w:p w:rsidR="00446DF6" w:rsidRPr="007A2A20" w:rsidRDefault="00446DF6" w:rsidP="00446DF6">
      <w:pPr>
        <w:pStyle w:val="NormalHanging12a"/>
      </w:pPr>
      <w:r w:rsidRPr="007A2A20">
        <w:t>–</w:t>
      </w:r>
      <w:r w:rsidRPr="007A2A20">
        <w:tab/>
        <w:t>med beaktande av artiklarna 96 och 98 i arbetsordningen,</w:t>
      </w:r>
    </w:p>
    <w:p w:rsidR="00446DF6" w:rsidRPr="007A2A20" w:rsidRDefault="00446DF6" w:rsidP="00446DF6">
      <w:pPr>
        <w:pStyle w:val="NormalHanging12a"/>
      </w:pPr>
      <w:r w:rsidRPr="007A2A20">
        <w:t>–</w:t>
      </w:r>
      <w:r w:rsidRPr="007A2A20">
        <w:tab/>
        <w:t>med beaktande av betänkandet från budgetutskottet (A10-0007/2024), och av följande skäl:</w:t>
      </w:r>
    </w:p>
    <w:p w:rsidR="00446DF6" w:rsidRPr="007A2A20" w:rsidRDefault="00446DF6" w:rsidP="00446DF6">
      <w:pPr>
        <w:pStyle w:val="NormalHanging12a"/>
      </w:pPr>
      <w:r w:rsidRPr="007A2A20">
        <w:t>A.</w:t>
      </w:r>
      <w:r w:rsidRPr="007A2A20">
        <w:tab/>
        <w:t>Huvudsyftet med förslaget till ändringsbudget nr 4/2024 är att uppdatera budgetens inkomstsida för att ta hänsyn till den senaste utvecklingen och dessutom att justera budgetens utgiftssida med avseende på ett antal decentraliserade byråer.</w:t>
      </w:r>
    </w:p>
    <w:p w:rsidR="00446DF6" w:rsidRPr="007A2A20" w:rsidRDefault="00446DF6" w:rsidP="00446DF6">
      <w:pPr>
        <w:pStyle w:val="NormalHanging12a"/>
      </w:pPr>
      <w:r w:rsidRPr="007A2A20">
        <w:t>B.</w:t>
      </w:r>
      <w:r w:rsidRPr="007A2A20">
        <w:tab/>
        <w:t>Förslaget till ändringsbudget nr 4/202</w:t>
      </w:r>
      <w:r w:rsidR="00C25E02">
        <w:t>4</w:t>
      </w:r>
      <w:r w:rsidRPr="007A2A20">
        <w:t xml:space="preserve"> innebär en revidering av prognoserna för egna medel när det gäller tullar, som är 1</w:t>
      </w:r>
      <w:bookmarkStart w:id="8" w:name="_GoBack"/>
      <w:bookmarkEnd w:id="8"/>
      <w:r w:rsidRPr="007A2A20">
        <w:t>8,3 % lägre än i prognosen från maj 2023, det icke</w:t>
      </w:r>
      <w:r w:rsidRPr="007A2A20">
        <w:noBreakHyphen/>
        <w:t>utjämnade momsunderlaget, som är 0,6 % lägre än i prognosen från maj 2023, icke-materialutnyttjat plastförpackningsavfall, som är 0,6 % högre än i prognosen från maj 2023, och EU:s totala BNI-underlag, som är 0,3 % högre än i prognosen från maj 2023.</w:t>
      </w:r>
    </w:p>
    <w:p w:rsidR="00446DF6" w:rsidRPr="007A2A20" w:rsidRDefault="00446DF6" w:rsidP="00446DF6">
      <w:pPr>
        <w:pStyle w:val="NormalHanging12a"/>
      </w:pPr>
      <w:r w:rsidRPr="007A2A20">
        <w:t>C.</w:t>
      </w:r>
      <w:r w:rsidRPr="007A2A20">
        <w:tab/>
        <w:t>Förslaget till ändringsbudget nr 4/2024 uppdaterar också Förenade kungarikets bidrag för 2024 – i enlighet med utträdesavtalet –, som uppgår till 2,38 miljarder EUR, vilket är en betydande minskning, med 1,52 miljarder EUR, jämfört med uppskattningen i 2024 års budget. Förslaget till ändringsbudget nr 4/2024 tar också hänsyn till de böter och straffavgifter som inkasserades fram till slutet av maj 2024, vilket ökar den ursprungliga prognosen för böter och straffavgifter i 2024 års budget med 513 miljoner EUR.</w:t>
      </w:r>
    </w:p>
    <w:p w:rsidR="00446DF6" w:rsidRPr="007A2A20" w:rsidRDefault="00446DF6" w:rsidP="00446DF6">
      <w:pPr>
        <w:pStyle w:val="NormalHanging12a"/>
      </w:pPr>
      <w:r w:rsidRPr="007A2A20">
        <w:t>D.</w:t>
      </w:r>
      <w:r w:rsidRPr="007A2A20">
        <w:tab/>
        <w:t xml:space="preserve">I förslaget till ändringsbudget nr 4/2024 föreslås ett antal justeringar av finansieringen av decentraliserade byråer, med en nettoökning på totalt 12 miljoner EUR och ett förslag om att utnyttja flexibilitetsmekanismen till ett belopp på 13,2 miljoner EUR för att täcka ökningar hos Europeiska läkemedelsmyndigheten och Eurojust i avsaknad av </w:t>
      </w:r>
      <w:r w:rsidRPr="007A2A20">
        <w:lastRenderedPageBreak/>
        <w:t>tillgängliga marginaler under rubrik 2b i den fleråriga budgetramen.</w:t>
      </w:r>
    </w:p>
    <w:p w:rsidR="00446DF6" w:rsidRPr="007A2A20" w:rsidRDefault="00446DF6" w:rsidP="00446DF6">
      <w:pPr>
        <w:pStyle w:val="NormalHanging12a"/>
      </w:pPr>
      <w:r w:rsidRPr="007A2A20">
        <w:t>1.</w:t>
      </w:r>
      <w:r w:rsidRPr="007A2A20">
        <w:tab/>
        <w:t>Europaparlamentet välkomnar förslaget till ändringsbudget nr 4/2024, som lagts fram av kommissionen.</w:t>
      </w:r>
    </w:p>
    <w:p w:rsidR="00446DF6" w:rsidRPr="007A2A20" w:rsidRDefault="00446DF6" w:rsidP="00446DF6">
      <w:pPr>
        <w:pStyle w:val="NormalHanging12a"/>
        <w:rPr>
          <w:bCs/>
          <w:iCs/>
          <w:szCs w:val="24"/>
        </w:rPr>
      </w:pPr>
      <w:r w:rsidRPr="007A2A20">
        <w:t>2.</w:t>
      </w:r>
      <w:r w:rsidRPr="007A2A20">
        <w:tab/>
        <w:t xml:space="preserve">Europaparlamentet noterar att minskningen av andra egna medel än BNI (särskilt när det gäller tullar) och av Förenade kungarikets bidrag till budgeten leder till en ökning av BNI-bidragen med 5,63 miljarder EUR. Parlamentet noterar att det finns en betydande avvikelse från de ursprungliga prognoserna för tullar och Förenade kungarikets bidrag, och uppmanar kommissionen att undersöka möjligheterna att förbättra sina prognoser, vilket är avgörande för förutsägbarheten i budgetplaneringen. </w:t>
      </w:r>
    </w:p>
    <w:p w:rsidR="00446DF6" w:rsidRPr="007A2A20" w:rsidRDefault="00446DF6" w:rsidP="00446DF6">
      <w:pPr>
        <w:pStyle w:val="NormalHanging12a"/>
        <w:keepNext/>
        <w:keepLines/>
        <w:widowControl/>
      </w:pPr>
      <w:r w:rsidRPr="007A2A20">
        <w:t>3.</w:t>
      </w:r>
      <w:r w:rsidRPr="007A2A20">
        <w:tab/>
        <w:t>Europaparlamentet understryker att med förslaget till ändringsbudget nr 4/2024 uppgår reduceringen av de BNI-baserade schablonbeloppen för de fem berörda medlemsstaterna till knappt 5,4 miljarder EUR netto. Parlamentet betonar att dessa rabatter är kopplade till inflationen och därför har ökat i snabbare takt än taken i den fleråriga budgetramen, som justeras årligen på grundval av deflatorn på 2 %. Parlamentet understryker att denna anomali ökar bördan för de andra medlemsstaterna.</w:t>
      </w:r>
    </w:p>
    <w:p w:rsidR="00446DF6" w:rsidRPr="007A2A20" w:rsidRDefault="00446DF6" w:rsidP="00446DF6">
      <w:pPr>
        <w:pStyle w:val="NormalHanging12a"/>
      </w:pPr>
      <w:r w:rsidRPr="007A2A20">
        <w:t>4.</w:t>
      </w:r>
      <w:r w:rsidRPr="007A2A20">
        <w:tab/>
        <w:t>Europaparlamentet betonar behovet av hållbara inkomster för unionens budget, som har ansträngts kraftigt för att reagera på olika kriser under de senaste åren. Parlamentet beklagar därför bristen på framsteg i rådet när det gäller reformen av systemet för egna medel i linje med färdplanen i det interinstitutionella avtalet.</w:t>
      </w:r>
      <w:r w:rsidRPr="007A2A20">
        <w:rPr>
          <w:color w:val="1E1E1F"/>
          <w:shd w:val="clear" w:color="auto" w:fill="FFFFFF"/>
        </w:rPr>
        <w:t xml:space="preserve"> </w:t>
      </w:r>
      <w:r w:rsidRPr="007A2A20">
        <w:t>Parlamentet påminner om sin ståndpunkt till stöd för kommissionens ändrade förslag och uppmanar med kraft rådet och medlemsstaterna att snabbt anta dessa förslag för att öka de egna medel som är tillgängliga för unionens budget. Parlamentet påminner om sin ståndpunkt sedan länge att böter och avgifter bör användas som extra inkomster för unionens budget.</w:t>
      </w:r>
    </w:p>
    <w:p w:rsidR="00446DF6" w:rsidRPr="007A2A20" w:rsidRDefault="00446DF6" w:rsidP="00446DF6">
      <w:pPr>
        <w:pStyle w:val="NormalHanging12a"/>
      </w:pPr>
      <w:r w:rsidRPr="007A2A20">
        <w:t>5.</w:t>
      </w:r>
      <w:r w:rsidRPr="007A2A20">
        <w:tab/>
        <w:t>Europaparlamentet upprepar sin långvariga ståndpunkt att nya prioriteringar kräver ny finansiering. Parlamentet noterar de många justeringarna av de decentraliserade byråernas budgetar, främst i enlighet med uppgifter som tilldelats dem enligt nyligen antagen lagstiftning. Parlamentet påminner om att byråerna måste ha den personal och budget som krävs för att de ska kunna fullgöra sina mandat på ett korrekt sätt. Parlamentet beklagar att ytterligare medel till en decentraliserad byrå i flera fall medför en motsvarande minskning av programanslaget.</w:t>
      </w:r>
    </w:p>
    <w:p w:rsidR="00446DF6" w:rsidRPr="007A2A20" w:rsidRDefault="00446DF6" w:rsidP="00446DF6">
      <w:pPr>
        <w:pStyle w:val="NormalHanging12a"/>
      </w:pPr>
      <w:r w:rsidRPr="007A2A20">
        <w:t>6.</w:t>
      </w:r>
      <w:r w:rsidRPr="007A2A20">
        <w:tab/>
        <w:t>Europaparlamentet beklagar att totalt 1,5 miljarder EUR i den nuvarande fleråriga budgetramen hittills har omfördelats eller föreslås omfördelas från program till decentraliserade byråer. Parlamentet understryker att omfattningen av omfördelningarna är symptomatisk för de ansträngda resurser som finns tillgängliga för unionens budget, och betonar behovet av budgetflexibilitet för att anpassa byråernas resurser till förändringar av deras mandat och uppgifter under den fleråriga budgetramen.</w:t>
      </w:r>
    </w:p>
    <w:p w:rsidR="00446DF6" w:rsidRPr="007A2A20" w:rsidRDefault="00446DF6" w:rsidP="00446DF6">
      <w:pPr>
        <w:pStyle w:val="NormalHanging12a"/>
      </w:pPr>
      <w:r w:rsidRPr="007A2A20">
        <w:t>7.</w:t>
      </w:r>
      <w:r w:rsidRPr="007A2A20">
        <w:tab/>
        <w:t xml:space="preserve">Europaparlamentet noterar att förslaget till ändringsbudget nr 4/2024 medför en ökning med 2 miljoner EUR för Eurojust på grund av inflationstrycket. Parlamentet understryker att inflationstrycket helt klart är en utmaning för alla decentraliserade byråer, med en inflation som ligger över den årliga deflatorn på 2 %, genom vilken taken i den fleråriga budgetramen ökar, och personal- och driftskostnaderna för decentraliserade byråer sätts under hårt tryck till följd av detta, och anser att den nuvarande behandlingen av decentraliserade byråers budgetar som separata från de administrativa utgifterna under rubrik 7 i den fleråriga budgetramen måste diskuteras </w:t>
      </w:r>
      <w:r w:rsidRPr="007A2A20">
        <w:lastRenderedPageBreak/>
        <w:t>ytterligare, som en del av kommissionens förberedelser inför den fleråriga budgetramen efter 2027.</w:t>
      </w:r>
    </w:p>
    <w:p w:rsidR="00446DF6" w:rsidRPr="007A2A20" w:rsidRDefault="00446DF6" w:rsidP="00446DF6">
      <w:pPr>
        <w:pStyle w:val="NormalHanging12a"/>
      </w:pPr>
      <w:r w:rsidRPr="007A2A20">
        <w:t>8.</w:t>
      </w:r>
      <w:r w:rsidRPr="007A2A20">
        <w:tab/>
        <w:t>Europaparlamentet godkänner rådets ståndpunkt om förslaget till ändringsbudget nr 4/2024.</w:t>
      </w:r>
    </w:p>
    <w:p w:rsidR="00446DF6" w:rsidRPr="007A2A20" w:rsidRDefault="00446DF6" w:rsidP="00446DF6">
      <w:pPr>
        <w:pStyle w:val="NormalHanging12a"/>
      </w:pPr>
      <w:r w:rsidRPr="007A2A20">
        <w:t>9.</w:t>
      </w:r>
      <w:r w:rsidRPr="007A2A20">
        <w:tab/>
        <w:t xml:space="preserve">Europaparlamentet uppdrar åt talmannen att förklara ändringsbudget nr 4/2024 slutgiltigt antagen och se till att den offentliggörs i </w:t>
      </w:r>
      <w:r w:rsidRPr="007A2A20">
        <w:rPr>
          <w:i/>
          <w:iCs/>
        </w:rPr>
        <w:t>Europeiska unionens officiella tidning</w:t>
      </w:r>
      <w:r w:rsidRPr="007A2A20">
        <w:t>.</w:t>
      </w:r>
    </w:p>
    <w:p w:rsidR="00E365E1" w:rsidRPr="006467EA" w:rsidRDefault="00446DF6" w:rsidP="00487BD1">
      <w:pPr>
        <w:pStyle w:val="NormalHanging12a"/>
        <w:keepNext/>
        <w:keepLines/>
        <w:widowControl/>
      </w:pPr>
      <w:r w:rsidRPr="007A2A20">
        <w:t>10.</w:t>
      </w:r>
      <w:r w:rsidRPr="007A2A20">
        <w:tab/>
        <w:t>Europaparlamentet uppdrar åt talmannen att översända denna resolution till rådet och kommissionen, övriga institutioner och berörda organ samt till de nationella parlamenten.</w:t>
      </w:r>
    </w:p>
    <w:sectPr w:rsidR="00E365E1" w:rsidRPr="006467EA" w:rsidSect="006467E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17D7" w:rsidRPr="006467EA" w:rsidRDefault="00A717D7">
      <w:r w:rsidRPr="006467EA">
        <w:separator/>
      </w:r>
    </w:p>
  </w:endnote>
  <w:endnote w:type="continuationSeparator" w:id="0">
    <w:p w:rsidR="00A717D7" w:rsidRPr="006467EA" w:rsidRDefault="00A717D7">
      <w:r w:rsidRPr="006467E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467E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467E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467E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17D7" w:rsidRPr="006467EA" w:rsidRDefault="00A717D7">
      <w:r w:rsidRPr="006467EA">
        <w:separator/>
      </w:r>
    </w:p>
  </w:footnote>
  <w:footnote w:type="continuationSeparator" w:id="0">
    <w:p w:rsidR="00A717D7" w:rsidRPr="006467EA" w:rsidRDefault="00A717D7">
      <w:r w:rsidRPr="006467EA">
        <w:continuationSeparator/>
      </w:r>
    </w:p>
  </w:footnote>
  <w:footnote w:id="1">
    <w:p w:rsidR="00446DF6" w:rsidRPr="007A2A20" w:rsidRDefault="00446DF6" w:rsidP="006467EA">
      <w:pPr>
        <w:pStyle w:val="FootnoteText"/>
        <w:ind w:left="567" w:hanging="567"/>
        <w:rPr>
          <w:sz w:val="24"/>
          <w:lang w:val="fi-FI"/>
        </w:rPr>
      </w:pPr>
      <w:r w:rsidRPr="007A2A20">
        <w:rPr>
          <w:rStyle w:val="FootnoteReference"/>
          <w:sz w:val="24"/>
          <w:lang w:val="sv-SE"/>
        </w:rPr>
        <w:footnoteRef/>
      </w:r>
      <w:r w:rsidR="006467EA" w:rsidRPr="007A2A20">
        <w:rPr>
          <w:sz w:val="24"/>
          <w:lang w:val="fi-FI"/>
        </w:rPr>
        <w:t xml:space="preserve"> </w:t>
      </w:r>
      <w:r w:rsidR="006467EA" w:rsidRPr="007A2A20">
        <w:rPr>
          <w:sz w:val="24"/>
          <w:lang w:val="fi-FI"/>
        </w:rPr>
        <w:tab/>
      </w:r>
      <w:r w:rsidRPr="007A2A20">
        <w:rPr>
          <w:sz w:val="24"/>
          <w:lang w:val="fi-FI"/>
        </w:rPr>
        <w:t xml:space="preserve">EUT L 193, 30.7.2018, s. 1, ELI: </w:t>
      </w:r>
      <w:hyperlink r:id="rId1" w:history="1">
        <w:r w:rsidRPr="007A2A20">
          <w:rPr>
            <w:rStyle w:val="Hyperlink"/>
            <w:sz w:val="24"/>
            <w:lang w:val="fi-FI"/>
          </w:rPr>
          <w:t>http://data.europa.eu/eli/reg/2018/1046/oj?locale=sv</w:t>
        </w:r>
      </w:hyperlink>
      <w:r w:rsidRPr="007A2A20">
        <w:rPr>
          <w:sz w:val="24"/>
          <w:lang w:val="fi-FI"/>
        </w:rPr>
        <w:t>.</w:t>
      </w:r>
    </w:p>
  </w:footnote>
  <w:footnote w:id="2">
    <w:p w:rsidR="00446DF6" w:rsidRPr="007A2A20" w:rsidRDefault="00446DF6" w:rsidP="006467EA">
      <w:pPr>
        <w:pStyle w:val="FootnoteText"/>
        <w:ind w:left="567" w:hanging="567"/>
        <w:rPr>
          <w:sz w:val="24"/>
        </w:rPr>
      </w:pPr>
      <w:r w:rsidRPr="007A2A20">
        <w:rPr>
          <w:rStyle w:val="FootnoteReference"/>
          <w:sz w:val="24"/>
          <w:lang w:val="sv-SE"/>
        </w:rPr>
        <w:footnoteRef/>
      </w:r>
      <w:r w:rsidR="006467EA" w:rsidRPr="007A2A20">
        <w:rPr>
          <w:sz w:val="24"/>
        </w:rPr>
        <w:t xml:space="preserve"> </w:t>
      </w:r>
      <w:r w:rsidR="006467EA" w:rsidRPr="007A2A20">
        <w:rPr>
          <w:sz w:val="24"/>
        </w:rPr>
        <w:tab/>
      </w:r>
      <w:r w:rsidRPr="007A2A20">
        <w:rPr>
          <w:sz w:val="24"/>
        </w:rPr>
        <w:t xml:space="preserve">EUT L, 2024/2509, 26.9.2024, </w:t>
      </w:r>
      <w:hyperlink r:id="rId2" w:history="1">
        <w:r w:rsidRPr="007A2A20">
          <w:rPr>
            <w:rStyle w:val="Hyperlink"/>
            <w:sz w:val="24"/>
          </w:rPr>
          <w:t>http://data.europa.eu/eli/reg/2020/2093/oj?locale=sv</w:t>
        </w:r>
      </w:hyperlink>
      <w:r w:rsidRPr="007A2A20">
        <w:rPr>
          <w:sz w:val="24"/>
        </w:rPr>
        <w:t xml:space="preserve"> </w:t>
      </w:r>
    </w:p>
  </w:footnote>
  <w:footnote w:id="3">
    <w:p w:rsidR="00446DF6" w:rsidRPr="007A2A20" w:rsidRDefault="00446DF6" w:rsidP="006467EA">
      <w:pPr>
        <w:pStyle w:val="FootnoteText"/>
        <w:ind w:left="567" w:hanging="567"/>
        <w:rPr>
          <w:sz w:val="24"/>
          <w:lang w:val="fi-FI"/>
        </w:rPr>
      </w:pPr>
      <w:r w:rsidRPr="007A2A20">
        <w:rPr>
          <w:rStyle w:val="FootnoteReference"/>
          <w:sz w:val="24"/>
          <w:lang w:val="sv-SE"/>
        </w:rPr>
        <w:footnoteRef/>
      </w:r>
      <w:r w:rsidR="006467EA" w:rsidRPr="007A2A20">
        <w:rPr>
          <w:sz w:val="24"/>
          <w:lang w:val="fi-FI"/>
        </w:rPr>
        <w:t xml:space="preserve"> </w:t>
      </w:r>
      <w:r w:rsidR="006467EA" w:rsidRPr="007A2A20">
        <w:rPr>
          <w:sz w:val="24"/>
          <w:lang w:val="fi-FI"/>
        </w:rPr>
        <w:tab/>
      </w:r>
      <w:r w:rsidRPr="007A2A20">
        <w:rPr>
          <w:sz w:val="24"/>
          <w:lang w:val="fi-FI"/>
        </w:rPr>
        <w:t xml:space="preserve">EUT L, 2024/207, 22.2.2024, ELI: </w:t>
      </w:r>
      <w:r w:rsidR="00C25E02">
        <w:fldChar w:fldCharType="begin"/>
      </w:r>
      <w:r w:rsidR="00C25E02" w:rsidRPr="00C25E02">
        <w:rPr>
          <w:lang w:val="fi-FI"/>
        </w:rPr>
        <w:instrText xml:space="preserve"> HYPERLINK "http://data.europa.eu/eli/budget/2024/207/oj" </w:instrText>
      </w:r>
      <w:r w:rsidR="00C25E02">
        <w:fldChar w:fldCharType="separate"/>
      </w:r>
      <w:r w:rsidRPr="007A2A20">
        <w:rPr>
          <w:rStyle w:val="Hyperlink"/>
          <w:sz w:val="24"/>
          <w:lang w:val="fi-FI"/>
        </w:rPr>
        <w:t>http://data.europa.eu/eli/budget/2024/207/oj?locale=sv</w:t>
      </w:r>
      <w:r w:rsidR="00C25E02">
        <w:rPr>
          <w:rStyle w:val="Hyperlink"/>
          <w:sz w:val="24"/>
          <w:lang w:val="fi-FI"/>
        </w:rPr>
        <w:fldChar w:fldCharType="end"/>
      </w:r>
      <w:r w:rsidRPr="007A2A20">
        <w:rPr>
          <w:sz w:val="24"/>
          <w:lang w:val="fi-FI"/>
        </w:rPr>
        <w:t>.</w:t>
      </w:r>
    </w:p>
  </w:footnote>
  <w:footnote w:id="4">
    <w:p w:rsidR="00446DF6" w:rsidRPr="007A2A20" w:rsidRDefault="00446DF6" w:rsidP="006467EA">
      <w:pPr>
        <w:pStyle w:val="FootnoteText"/>
        <w:ind w:left="567" w:hanging="567"/>
        <w:rPr>
          <w:sz w:val="24"/>
          <w:lang w:val="fi-FI"/>
        </w:rPr>
      </w:pPr>
      <w:r w:rsidRPr="007A2A20">
        <w:rPr>
          <w:rStyle w:val="FootnoteReference"/>
          <w:sz w:val="24"/>
          <w:lang w:val="sv-SE"/>
        </w:rPr>
        <w:footnoteRef/>
      </w:r>
      <w:r w:rsidR="006467EA" w:rsidRPr="007A2A20">
        <w:rPr>
          <w:sz w:val="24"/>
          <w:lang w:val="fi-FI"/>
        </w:rPr>
        <w:t xml:space="preserve"> </w:t>
      </w:r>
      <w:r w:rsidR="006467EA" w:rsidRPr="007A2A20">
        <w:rPr>
          <w:sz w:val="24"/>
          <w:lang w:val="fi-FI"/>
        </w:rPr>
        <w:tab/>
      </w:r>
      <w:r w:rsidRPr="007A2A20">
        <w:rPr>
          <w:sz w:val="24"/>
          <w:lang w:val="fi-FI"/>
        </w:rPr>
        <w:t xml:space="preserve">EUT L 433 I, 22.12.2020, s. 11, ELI: </w:t>
      </w:r>
      <w:r w:rsidR="00C25E02">
        <w:fldChar w:fldCharType="begin"/>
      </w:r>
      <w:r w:rsidR="00C25E02" w:rsidRPr="00C25E02">
        <w:rPr>
          <w:lang w:val="fi-FI"/>
        </w:rPr>
        <w:instrText xml:space="preserve"> HYPERL</w:instrText>
      </w:r>
      <w:r w:rsidR="00C25E02" w:rsidRPr="00C25E02">
        <w:rPr>
          <w:lang w:val="fi-FI"/>
        </w:rPr>
        <w:instrText xml:space="preserve">INK "http://data.europa.eu/eli/reg/2020/2093/oj" </w:instrText>
      </w:r>
      <w:r w:rsidR="00C25E02">
        <w:fldChar w:fldCharType="separate"/>
      </w:r>
      <w:r w:rsidRPr="007A2A20">
        <w:rPr>
          <w:rStyle w:val="Hyperlink"/>
          <w:sz w:val="24"/>
          <w:lang w:val="fi-FI"/>
        </w:rPr>
        <w:t>http://data.europa.eu/eli/reg/2020/2093/oj?locale=sv</w:t>
      </w:r>
      <w:r w:rsidR="00C25E02">
        <w:rPr>
          <w:rStyle w:val="Hyperlink"/>
          <w:sz w:val="24"/>
          <w:lang w:val="fi-FI"/>
        </w:rPr>
        <w:fldChar w:fldCharType="end"/>
      </w:r>
      <w:r w:rsidRPr="007A2A20">
        <w:rPr>
          <w:sz w:val="24"/>
          <w:lang w:val="fi-FI"/>
        </w:rPr>
        <w:t>.</w:t>
      </w:r>
    </w:p>
  </w:footnote>
  <w:footnote w:id="5">
    <w:p w:rsidR="00446DF6" w:rsidRPr="007A2A20" w:rsidRDefault="00446DF6" w:rsidP="006467EA">
      <w:pPr>
        <w:pStyle w:val="FootnoteText"/>
        <w:ind w:left="567" w:hanging="567"/>
        <w:rPr>
          <w:sz w:val="24"/>
          <w:lang w:val="fi-FI"/>
        </w:rPr>
      </w:pPr>
      <w:r w:rsidRPr="007A2A20">
        <w:rPr>
          <w:rStyle w:val="FootnoteReference"/>
          <w:sz w:val="24"/>
          <w:lang w:val="sv-SE"/>
        </w:rPr>
        <w:footnoteRef/>
      </w:r>
      <w:r w:rsidR="006467EA" w:rsidRPr="007A2A20">
        <w:rPr>
          <w:sz w:val="24"/>
          <w:lang w:val="fi-FI"/>
        </w:rPr>
        <w:t xml:space="preserve"> </w:t>
      </w:r>
      <w:r w:rsidR="006467EA" w:rsidRPr="007A2A20">
        <w:rPr>
          <w:sz w:val="24"/>
          <w:lang w:val="fi-FI"/>
        </w:rPr>
        <w:tab/>
      </w:r>
      <w:r w:rsidRPr="007A2A20">
        <w:rPr>
          <w:sz w:val="24"/>
          <w:lang w:val="fi-FI"/>
        </w:rPr>
        <w:t xml:space="preserve">EUT L 433 I, 22.12.2020, s. 28, ELI: </w:t>
      </w:r>
      <w:r w:rsidR="00C25E02">
        <w:fldChar w:fldCharType="begin"/>
      </w:r>
      <w:r w:rsidR="00C25E02" w:rsidRPr="00C25E02">
        <w:rPr>
          <w:lang w:val="fi-FI"/>
        </w:rPr>
        <w:instrText xml:space="preserve"> HYPERLINK "http://data.europa.eu/eli/agree_interinstit/2020/1222/oj" </w:instrText>
      </w:r>
      <w:r w:rsidR="00C25E02">
        <w:fldChar w:fldCharType="separate"/>
      </w:r>
      <w:r w:rsidRPr="007A2A20">
        <w:rPr>
          <w:rStyle w:val="Hyperlink"/>
          <w:sz w:val="24"/>
          <w:lang w:val="fi-FI"/>
        </w:rPr>
        <w:t>http://data.europa.eu/eli/agree_interinstit/2020/1222/oj?locale=sv</w:t>
      </w:r>
      <w:r w:rsidR="00C25E02">
        <w:rPr>
          <w:rStyle w:val="Hyperlink"/>
          <w:sz w:val="24"/>
          <w:lang w:val="fi-FI"/>
        </w:rPr>
        <w:fldChar w:fldCharType="end"/>
      </w:r>
      <w:r w:rsidRPr="007A2A20">
        <w:rPr>
          <w:sz w:val="24"/>
          <w:lang w:val="fi-FI"/>
        </w:rPr>
        <w:t>.</w:t>
      </w:r>
    </w:p>
  </w:footnote>
  <w:footnote w:id="6">
    <w:p w:rsidR="00446DF6" w:rsidRPr="007A2A20" w:rsidRDefault="00446DF6" w:rsidP="006467EA">
      <w:pPr>
        <w:pStyle w:val="FootnoteText"/>
        <w:ind w:left="567" w:hanging="567"/>
        <w:rPr>
          <w:sz w:val="24"/>
          <w:lang w:val="fi-FI"/>
        </w:rPr>
      </w:pPr>
      <w:r w:rsidRPr="007A2A20">
        <w:rPr>
          <w:rStyle w:val="FootnoteReference"/>
          <w:sz w:val="24"/>
          <w:lang w:val="sv-SE"/>
        </w:rPr>
        <w:footnoteRef/>
      </w:r>
      <w:r w:rsidR="006467EA" w:rsidRPr="007A2A20">
        <w:rPr>
          <w:sz w:val="24"/>
          <w:lang w:val="fi-FI"/>
        </w:rPr>
        <w:t xml:space="preserve"> </w:t>
      </w:r>
      <w:r w:rsidR="006467EA" w:rsidRPr="007A2A20">
        <w:rPr>
          <w:sz w:val="24"/>
          <w:lang w:val="fi-FI"/>
        </w:rPr>
        <w:tab/>
      </w:r>
      <w:r w:rsidRPr="007A2A20">
        <w:rPr>
          <w:sz w:val="24"/>
          <w:lang w:val="fi-FI"/>
        </w:rPr>
        <w:t xml:space="preserve">EUT L 424, 15.12.2020, s. 1, ELI: </w:t>
      </w:r>
      <w:r w:rsidR="00C25E02">
        <w:fldChar w:fldCharType="begin"/>
      </w:r>
      <w:r w:rsidR="00C25E02" w:rsidRPr="00C25E02">
        <w:rPr>
          <w:lang w:val="fi-FI"/>
        </w:rPr>
        <w:instrText xml:space="preserve"> HYPERLINK "http://data.europa.eu/eli/dec/2020/2053/oj" </w:instrText>
      </w:r>
      <w:r w:rsidR="00C25E02">
        <w:fldChar w:fldCharType="separate"/>
      </w:r>
      <w:r w:rsidRPr="007A2A20">
        <w:rPr>
          <w:rStyle w:val="Hyperlink"/>
          <w:sz w:val="24"/>
          <w:lang w:val="fi-FI"/>
        </w:rPr>
        <w:t>http://data.europa.eu/eli/dec/2020/2053/oj?locale=sv</w:t>
      </w:r>
      <w:r w:rsidR="00C25E02">
        <w:rPr>
          <w:rStyle w:val="Hyperlink"/>
          <w:sz w:val="24"/>
          <w:lang w:val="fi-FI"/>
        </w:rPr>
        <w:fldChar w:fldCharType="end"/>
      </w:r>
      <w:r w:rsidRPr="007A2A20">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467E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467E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467E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7/2024"/>
    <w:docVar w:name="dvlangue" w:val="SV"/>
    <w:docVar w:name="dvnumam" w:val="0"/>
    <w:docVar w:name="dvpe" w:val="763.032"/>
    <w:docVar w:name="dvrapporteur" w:val="Föredragande: "/>
    <w:docVar w:name="dvtitre" w:val="Europaparlamentets resolution av den xx xx 2024 om rådets ståndpunkt om förslaget till Europeiska unionens ändringsbudget nr 4/2024 för budgetåret 2024: Uppdatering av inkomster (egna medel) och justeringar avseende vissa decentraliserade byråer(13195/2024 – C10-0109/2024 – 2024/0185(BUD))"/>
  </w:docVars>
  <w:rsids>
    <w:rsidRoot w:val="00A717D7"/>
    <w:rsid w:val="000020FB"/>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46DF6"/>
    <w:rsid w:val="00471C19"/>
    <w:rsid w:val="004867E3"/>
    <w:rsid w:val="00487BD1"/>
    <w:rsid w:val="00494A28"/>
    <w:rsid w:val="004C0004"/>
    <w:rsid w:val="004C5D52"/>
    <w:rsid w:val="0050519A"/>
    <w:rsid w:val="005072A1"/>
    <w:rsid w:val="00514517"/>
    <w:rsid w:val="00545827"/>
    <w:rsid w:val="00560270"/>
    <w:rsid w:val="005C2568"/>
    <w:rsid w:val="005F1B17"/>
    <w:rsid w:val="006037C0"/>
    <w:rsid w:val="006467EA"/>
    <w:rsid w:val="006631B6"/>
    <w:rsid w:val="00680577"/>
    <w:rsid w:val="006F74FA"/>
    <w:rsid w:val="00731ADD"/>
    <w:rsid w:val="00734777"/>
    <w:rsid w:val="00747932"/>
    <w:rsid w:val="00751A4A"/>
    <w:rsid w:val="00756632"/>
    <w:rsid w:val="00762C74"/>
    <w:rsid w:val="00782CD7"/>
    <w:rsid w:val="00786EC0"/>
    <w:rsid w:val="007A2A2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17D7"/>
    <w:rsid w:val="00A778C7"/>
    <w:rsid w:val="00AB441E"/>
    <w:rsid w:val="00AB6293"/>
    <w:rsid w:val="00AD750F"/>
    <w:rsid w:val="00AE0928"/>
    <w:rsid w:val="00AF3B82"/>
    <w:rsid w:val="00B12E95"/>
    <w:rsid w:val="00B22876"/>
    <w:rsid w:val="00B27439"/>
    <w:rsid w:val="00B558F0"/>
    <w:rsid w:val="00BD48FE"/>
    <w:rsid w:val="00BD7BD8"/>
    <w:rsid w:val="00BE6ADC"/>
    <w:rsid w:val="00C05BFE"/>
    <w:rsid w:val="00C23CD4"/>
    <w:rsid w:val="00C25E02"/>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8EF39B"/>
  <w15:chartTrackingRefBased/>
  <w15:docId w15:val="{51DF0E69-0B06-4837-8261-7448068D8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46DF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446DF6"/>
    <w:pPr>
      <w:spacing w:before="480" w:after="240"/>
    </w:pPr>
  </w:style>
  <w:style w:type="paragraph" w:customStyle="1" w:styleId="PageHeading">
    <w:name w:val="PageHeading"/>
    <w:basedOn w:val="Normal"/>
    <w:rsid w:val="00446DF6"/>
    <w:pPr>
      <w:keepNext/>
      <w:spacing w:after="480"/>
      <w:jc w:val="center"/>
    </w:pPr>
    <w:rPr>
      <w:rFonts w:ascii="Arial" w:hAnsi="Arial" w:cs="Arial"/>
      <w:b/>
    </w:rPr>
  </w:style>
  <w:style w:type="paragraph" w:customStyle="1" w:styleId="NormalHanging12a">
    <w:name w:val="NormalHanging12a"/>
    <w:basedOn w:val="Normal"/>
    <w:rsid w:val="00446DF6"/>
    <w:pPr>
      <w:spacing w:after="240"/>
      <w:ind w:left="567" w:hanging="567"/>
    </w:pPr>
  </w:style>
  <w:style w:type="paragraph" w:styleId="Header">
    <w:name w:val="header"/>
    <w:basedOn w:val="Normal"/>
    <w:link w:val="HeaderChar"/>
    <w:rsid w:val="00446DF6"/>
    <w:pPr>
      <w:tabs>
        <w:tab w:val="center" w:pos="4513"/>
        <w:tab w:val="right" w:pos="9026"/>
      </w:tabs>
    </w:pPr>
  </w:style>
  <w:style w:type="character" w:customStyle="1" w:styleId="HeaderChar">
    <w:name w:val="Header Char"/>
    <w:basedOn w:val="DefaultParagraphFont"/>
    <w:link w:val="Header"/>
    <w:rsid w:val="00446DF6"/>
    <w:rPr>
      <w:sz w:val="24"/>
      <w:lang w:val="sv-SE"/>
    </w:rPr>
  </w:style>
  <w:style w:type="paragraph" w:customStyle="1" w:styleId="EPFooter">
    <w:name w:val="EPFooter"/>
    <w:basedOn w:val="Normal"/>
    <w:rsid w:val="00446DF6"/>
    <w:pPr>
      <w:tabs>
        <w:tab w:val="center" w:pos="4535"/>
        <w:tab w:val="right" w:pos="9071"/>
      </w:tabs>
      <w:spacing w:before="240" w:after="240"/>
    </w:pPr>
    <w:rPr>
      <w:color w:val="010000"/>
      <w:sz w:val="22"/>
    </w:rPr>
  </w:style>
  <w:style w:type="character" w:styleId="Hyperlink">
    <w:name w:val="Hyperlink"/>
    <w:basedOn w:val="DefaultParagraphFont"/>
    <w:uiPriority w:val="99"/>
    <w:rsid w:val="00446DF6"/>
    <w:rPr>
      <w:color w:val="0563C1" w:themeColor="hyperlink"/>
      <w:u w:val="single"/>
    </w:rPr>
  </w:style>
  <w:style w:type="paragraph" w:customStyle="1" w:styleId="Normal24a">
    <w:name w:val="Normal24a"/>
    <w:basedOn w:val="Normal"/>
    <w:rsid w:val="00446DF6"/>
    <w:pPr>
      <w:spacing w:after="480"/>
    </w:pPr>
  </w:style>
  <w:style w:type="paragraph" w:customStyle="1" w:styleId="NormalBoldCenter">
    <w:name w:val="NormalBoldCenter"/>
    <w:basedOn w:val="Normal"/>
    <w:rsid w:val="00446DF6"/>
    <w:pPr>
      <w:jc w:val="center"/>
    </w:pPr>
    <w:rPr>
      <w:b/>
    </w:rPr>
  </w:style>
  <w:style w:type="paragraph" w:customStyle="1" w:styleId="Footprint12b">
    <w:name w:val="Footprint12b"/>
    <w:basedOn w:val="Normal"/>
    <w:rsid w:val="00446DF6"/>
    <w:pPr>
      <w:spacing w:before="240"/>
    </w:pPr>
    <w:rPr>
      <w:szCs w:val="24"/>
    </w:rPr>
  </w:style>
  <w:style w:type="paragraph" w:customStyle="1" w:styleId="NormalSingle">
    <w:name w:val="NormalSingle"/>
    <w:basedOn w:val="Normal"/>
    <w:qFormat/>
    <w:rsid w:val="00446DF6"/>
    <w:rPr>
      <w:szCs w:val="24"/>
    </w:rPr>
  </w:style>
  <w:style w:type="paragraph" w:customStyle="1" w:styleId="Normal12a">
    <w:name w:val="Normal12a"/>
    <w:basedOn w:val="Normal"/>
    <w:rsid w:val="00446DF6"/>
    <w:pPr>
      <w:spacing w:after="240"/>
    </w:pPr>
  </w:style>
  <w:style w:type="paragraph" w:customStyle="1" w:styleId="RollCallVotes">
    <w:name w:val="RollCallVotes"/>
    <w:basedOn w:val="Normal"/>
    <w:rsid w:val="00446DF6"/>
    <w:pPr>
      <w:spacing w:before="120" w:after="120"/>
      <w:jc w:val="center"/>
    </w:pPr>
    <w:rPr>
      <w:b/>
      <w:bCs/>
      <w:snapToGrid w:val="0"/>
      <w:sz w:val="16"/>
      <w:lang w:eastAsia="en-US"/>
    </w:rPr>
  </w:style>
  <w:style w:type="paragraph" w:customStyle="1" w:styleId="RollCallTabs">
    <w:name w:val="RollCallTabs"/>
    <w:basedOn w:val="Normal"/>
    <w:qFormat/>
    <w:rsid w:val="00446DF6"/>
    <w:pPr>
      <w:tabs>
        <w:tab w:val="center" w:pos="284"/>
        <w:tab w:val="left" w:pos="426"/>
      </w:tabs>
    </w:pPr>
    <w:rPr>
      <w:snapToGrid w:val="0"/>
      <w:lang w:eastAsia="en-US"/>
    </w:rPr>
  </w:style>
  <w:style w:type="paragraph" w:customStyle="1" w:styleId="RollCallSymbols14pt">
    <w:name w:val="RollCallSymbols14pt"/>
    <w:basedOn w:val="Normal"/>
    <w:rsid w:val="00446DF6"/>
    <w:pPr>
      <w:spacing w:before="120" w:after="120"/>
      <w:jc w:val="center"/>
    </w:pPr>
    <w:rPr>
      <w:rFonts w:ascii="Arial" w:hAnsi="Arial"/>
      <w:b/>
      <w:bCs/>
      <w:snapToGrid w:val="0"/>
      <w:sz w:val="28"/>
      <w:lang w:eastAsia="en-US"/>
    </w:rPr>
  </w:style>
  <w:style w:type="paragraph" w:customStyle="1" w:styleId="RollCallTable">
    <w:name w:val="RollCallTable"/>
    <w:basedOn w:val="Normal"/>
    <w:rsid w:val="00446DF6"/>
    <w:pPr>
      <w:spacing w:before="120" w:after="120"/>
    </w:pPr>
    <w:rPr>
      <w:snapToGrid w:val="0"/>
      <w:sz w:val="16"/>
      <w:lang w:eastAsia="en-US"/>
    </w:rPr>
  </w:style>
  <w:style w:type="character" w:styleId="FollowedHyperlink">
    <w:name w:val="FollowedHyperlink"/>
    <w:basedOn w:val="DefaultParagraphFont"/>
    <w:rsid w:val="00B27439"/>
    <w:rPr>
      <w:color w:val="954F72" w:themeColor="followedHyperlink"/>
      <w:u w:val="single"/>
    </w:rPr>
  </w:style>
  <w:style w:type="paragraph" w:styleId="BalloonText">
    <w:name w:val="Balloon Text"/>
    <w:basedOn w:val="Normal"/>
    <w:link w:val="BalloonTextChar"/>
    <w:rsid w:val="00782CD7"/>
    <w:rPr>
      <w:rFonts w:ascii="Segoe UI" w:hAnsi="Segoe UI" w:cs="Segoe UI"/>
      <w:sz w:val="18"/>
      <w:szCs w:val="18"/>
    </w:rPr>
  </w:style>
  <w:style w:type="character" w:customStyle="1" w:styleId="BalloonTextChar">
    <w:name w:val="Balloon Text Char"/>
    <w:basedOn w:val="DefaultParagraphFont"/>
    <w:link w:val="BalloonText"/>
    <w:rsid w:val="00782CD7"/>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0/2093/oj?locale=sv" TargetMode="External"/><Relationship Id="rId1" Type="http://schemas.openxmlformats.org/officeDocument/2006/relationships/hyperlink" Target="http://data.europa.eu/eli/reg/2018/104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3BAEA2-D261-405D-BBF8-74C488A9F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1151</Words>
  <Characters>7161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2024-11-20T12:57:00Z</dcterms:created>
  <dcterms:modified xsi:type="dcterms:W3CDTF">2024-11-20T12:57:00Z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P10_TA(2024)0024_</vt:lpwstr>
  </property>
  <property fmtid="{D5CDD505-2E9C-101B-9397-08002B2CF9AE}" pid="4" name="&lt;Type&gt;">
    <vt:lpwstr>RR</vt:lpwstr>
  </property>
</Properties>
</file>