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0C3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0C36" w:rsidRDefault="00321EBF" w:rsidP="0010095E">
            <w:pPr>
              <w:pStyle w:val="EPName"/>
            </w:pPr>
            <w:r w:rsidRPr="001B0C36">
              <w:t>Europski parlament</w:t>
            </w:r>
          </w:p>
          <w:p w:rsidR="00751A4A" w:rsidRPr="001B0C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0C36">
              <w:t>2024</w:t>
            </w:r>
            <w:r w:rsidR="00817416" w:rsidRPr="001B0C36">
              <w:t>-202</w:t>
            </w:r>
            <w:r w:rsidRPr="001B0C3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B0C36" w:rsidRDefault="00187494" w:rsidP="0010095E">
            <w:pPr>
              <w:pStyle w:val="EPLogo"/>
            </w:pPr>
            <w:r w:rsidRPr="001B0C36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0C36" w:rsidRDefault="00D058B8" w:rsidP="004C5D52">
      <w:pPr>
        <w:pStyle w:val="LineTop"/>
      </w:pPr>
    </w:p>
    <w:p w:rsidR="00680577" w:rsidRPr="001B0C36" w:rsidRDefault="00321EBF" w:rsidP="00680577">
      <w:pPr>
        <w:pStyle w:val="EPBodyTA1"/>
      </w:pPr>
      <w:r w:rsidRPr="001B0C36">
        <w:t>USVOJENI TEKSTOVI</w:t>
      </w:r>
    </w:p>
    <w:p w:rsidR="00D058B8" w:rsidRPr="001B0C36" w:rsidRDefault="00D058B8" w:rsidP="00D058B8">
      <w:pPr>
        <w:pStyle w:val="LineBottom"/>
      </w:pPr>
    </w:p>
    <w:p w:rsidR="00321EBF" w:rsidRPr="001B0C36" w:rsidRDefault="00321EBF" w:rsidP="00321EBF">
      <w:pPr>
        <w:pStyle w:val="ATHeading1"/>
      </w:pPr>
      <w:bookmarkStart w:id="0" w:name="TANumber"/>
      <w:r w:rsidRPr="001B0C36">
        <w:t>P10_TA(2024)00</w:t>
      </w:r>
      <w:r w:rsidR="001B0C36" w:rsidRPr="001B0C36">
        <w:t>25</w:t>
      </w:r>
      <w:bookmarkEnd w:id="0"/>
    </w:p>
    <w:p w:rsidR="00321EBF" w:rsidRPr="001B0C36" w:rsidRDefault="00321EBF" w:rsidP="00321EBF">
      <w:pPr>
        <w:pStyle w:val="ATHeading2"/>
      </w:pPr>
      <w:bookmarkStart w:id="1" w:name="title"/>
      <w:r w:rsidRPr="001B0C36">
        <w:t>Mobilizacija Europskog fonda za prilagodbu globalizaciji: zahtjev EGF/2024/001 BE/</w:t>
      </w:r>
      <w:proofErr w:type="spellStart"/>
      <w:r w:rsidRPr="001B0C36">
        <w:t>Match-Smatch</w:t>
      </w:r>
      <w:bookmarkEnd w:id="1"/>
      <w:proofErr w:type="spellEnd"/>
    </w:p>
    <w:p w:rsidR="00321EBF" w:rsidRPr="001B0C36" w:rsidRDefault="00321EBF" w:rsidP="00321EBF">
      <w:pPr>
        <w:rPr>
          <w:i/>
          <w:vanish/>
        </w:rPr>
      </w:pPr>
      <w:r w:rsidRPr="001B0C36">
        <w:rPr>
          <w:i/>
        </w:rPr>
        <w:fldChar w:fldCharType="begin"/>
      </w:r>
      <w:r w:rsidRPr="001B0C36">
        <w:rPr>
          <w:i/>
        </w:rPr>
        <w:instrText xml:space="preserve"> TC"(</w:instrText>
      </w:r>
      <w:bookmarkStart w:id="2" w:name="DocNumber"/>
      <w:r w:rsidRPr="001B0C36">
        <w:rPr>
          <w:i/>
        </w:rPr>
        <w:instrText>A10-0009/2024</w:instrText>
      </w:r>
      <w:bookmarkEnd w:id="2"/>
      <w:r w:rsidRPr="001B0C36">
        <w:rPr>
          <w:i/>
        </w:rPr>
        <w:instrText xml:space="preserve"> - Izvjestitelj: Michalis Hadjipantela)"\l3 \n&gt; \* MERGEFORMAT </w:instrText>
      </w:r>
      <w:r w:rsidRPr="001B0C36">
        <w:rPr>
          <w:i/>
        </w:rPr>
        <w:fldChar w:fldCharType="end"/>
      </w:r>
    </w:p>
    <w:p w:rsidR="00321EBF" w:rsidRPr="001B0C36" w:rsidRDefault="00321EBF" w:rsidP="00321EBF">
      <w:pPr>
        <w:rPr>
          <w:vanish/>
        </w:rPr>
      </w:pPr>
      <w:bookmarkStart w:id="3" w:name="Commission"/>
      <w:r w:rsidRPr="001B0C36">
        <w:rPr>
          <w:vanish/>
        </w:rPr>
        <w:t>Odbor za proračune</w:t>
      </w:r>
      <w:bookmarkEnd w:id="3"/>
    </w:p>
    <w:p w:rsidR="00321EBF" w:rsidRPr="001B0C36" w:rsidRDefault="00321EBF" w:rsidP="00321EBF">
      <w:pPr>
        <w:rPr>
          <w:vanish/>
        </w:rPr>
      </w:pPr>
      <w:bookmarkStart w:id="4" w:name="PE"/>
      <w:r w:rsidRPr="001B0C36">
        <w:rPr>
          <w:vanish/>
        </w:rPr>
        <w:t>PE763.160</w:t>
      </w:r>
      <w:bookmarkEnd w:id="4"/>
    </w:p>
    <w:p w:rsidR="00321EBF" w:rsidRPr="001B0C36" w:rsidRDefault="00321EBF" w:rsidP="00321EBF">
      <w:pPr>
        <w:pStyle w:val="ATHeading3"/>
      </w:pPr>
      <w:bookmarkStart w:id="5" w:name="Sujet"/>
      <w:r w:rsidRPr="001B0C36">
        <w:t>Rezoluc</w:t>
      </w:r>
      <w:r w:rsidR="00231989" w:rsidRPr="001B0C36">
        <w:t>ija Europskog parlamenta od 22. listopada</w:t>
      </w:r>
      <w:r w:rsidRPr="001B0C36">
        <w:t xml:space="preserve"> 2024. o Prijedlogu odluke Europskog parlamenta i Vijeća o mobilizaciji Europskog fonda za prilagodbu globalizaciji za radnike koji su proglašeni viškom na temelju zahtjeva Belgije – EGF/2024/001 BE/</w:t>
      </w:r>
      <w:proofErr w:type="spellStart"/>
      <w:r w:rsidRPr="001B0C36">
        <w:t>Match-Smatch</w:t>
      </w:r>
      <w:bookmarkEnd w:id="5"/>
      <w:proofErr w:type="spellEnd"/>
      <w:r w:rsidRPr="001B0C36">
        <w:t xml:space="preserve"> </w:t>
      </w:r>
      <w:bookmarkStart w:id="6" w:name="References"/>
      <w:r w:rsidRPr="001B0C36">
        <w:t>(COM(2024)0275 – C10-0101/2024 – 2024/0226(BUD))</w:t>
      </w:r>
      <w:bookmarkEnd w:id="6"/>
    </w:p>
    <w:p w:rsidR="00893593" w:rsidRPr="001B0C36" w:rsidRDefault="00893593" w:rsidP="00893593">
      <w:pPr>
        <w:pStyle w:val="EPComma"/>
        <w:rPr>
          <w:noProof/>
        </w:rPr>
      </w:pPr>
      <w:bookmarkStart w:id="7" w:name="TextBodyBegin"/>
      <w:bookmarkEnd w:id="7"/>
      <w:r w:rsidRPr="001B0C36">
        <w:rPr>
          <w:i/>
        </w:rPr>
        <w:t>Europski parlament</w:t>
      </w:r>
      <w:r w:rsidRPr="001B0C36">
        <w:t>,</w:t>
      </w:r>
    </w:p>
    <w:p w:rsidR="00893593" w:rsidRPr="001B0C36" w:rsidRDefault="00893593" w:rsidP="00893593">
      <w:pPr>
        <w:pStyle w:val="NormalHanging12a"/>
        <w:rPr>
          <w:noProof/>
        </w:rPr>
      </w:pPr>
      <w:r w:rsidRPr="001B0C36">
        <w:t>–</w:t>
      </w:r>
      <w:r w:rsidRPr="001B0C36">
        <w:tab/>
        <w:t>uzimajući u obzir prijedlog Komisije upućen Europskom parlamentu i Vijeću (COM(2024)0275 – C10</w:t>
      </w:r>
      <w:r w:rsidRPr="001B0C36">
        <w:noBreakHyphen/>
        <w:t>0101/2024),</w:t>
      </w:r>
    </w:p>
    <w:p w:rsidR="00893593" w:rsidRPr="001B0C36" w:rsidRDefault="00893593" w:rsidP="00893593">
      <w:pPr>
        <w:pStyle w:val="NormalHanging12a"/>
        <w:rPr>
          <w:noProof/>
        </w:rPr>
      </w:pPr>
      <w:r w:rsidRPr="001B0C36">
        <w:t>–</w:t>
      </w:r>
      <w:r w:rsidRPr="001B0C36">
        <w:tab/>
        <w:t>uzimajući u obzir Uredbu (EU) 2021/691 Europskog parlamenta i Vijeća od 28. travnja 2021. o Europskom fondu za prilagodbu globalizaciji za radnike koji su proglašeni viškom (EGF) i stavljanju izvan snage Uredbe (EU) br. 1309/2013</w:t>
      </w:r>
      <w:r w:rsidRPr="001B0C36">
        <w:rPr>
          <w:rStyle w:val="FootnoteReference"/>
        </w:rPr>
        <w:footnoteReference w:id="1"/>
      </w:r>
      <w:r w:rsidRPr="001B0C36">
        <w:t xml:space="preserve"> („Uredba o EGF-u”),</w:t>
      </w:r>
    </w:p>
    <w:p w:rsidR="00893593" w:rsidRPr="001B0C36" w:rsidRDefault="00893593" w:rsidP="00893593">
      <w:pPr>
        <w:pStyle w:val="NormalHanging12a"/>
        <w:rPr>
          <w:noProof/>
        </w:rPr>
      </w:pPr>
      <w:r w:rsidRPr="001B0C36">
        <w:t>–</w:t>
      </w:r>
      <w:r w:rsidRPr="001B0C36">
        <w:tab/>
        <w:t>uzimajući u obzir Uredbu Vijeća (EU, Euratom) 2020/2093 od 17. prosinca 2020. kojom se utvrđuje višegodišnji financijski okvir za razdoblje 2021. – 2027.</w:t>
      </w:r>
      <w:r w:rsidRPr="001B0C36">
        <w:rPr>
          <w:rStyle w:val="FootnoteReference"/>
          <w:noProof/>
        </w:rPr>
        <w:footnoteReference w:id="2"/>
      </w:r>
      <w:r w:rsidRPr="001B0C36">
        <w:t>, kako je izmijenjena Uredbom (EU, Euratom) 2024/765</w:t>
      </w:r>
      <w:r w:rsidRPr="001B0C36">
        <w:rPr>
          <w:rStyle w:val="FootnoteReference"/>
          <w:bdr w:val="none" w:sz="0" w:space="0" w:color="auto" w:frame="1"/>
        </w:rPr>
        <w:footnoteReference w:id="3"/>
      </w:r>
      <w:r w:rsidRPr="001B0C36">
        <w:t>, a posebno njezin članak 8.,</w:t>
      </w:r>
    </w:p>
    <w:p w:rsidR="00893593" w:rsidRPr="001B0C36" w:rsidRDefault="00893593" w:rsidP="00893593">
      <w:pPr>
        <w:pStyle w:val="NormalHanging12a"/>
        <w:rPr>
          <w:noProof/>
        </w:rPr>
      </w:pPr>
      <w:r w:rsidRPr="001B0C36">
        <w:t>–</w:t>
      </w:r>
      <w:r w:rsidRPr="001B0C36">
        <w:tab/>
        <w:t xml:space="preserve">uzimajući u obzir </w:t>
      </w:r>
      <w:proofErr w:type="spellStart"/>
      <w:r w:rsidRPr="001B0C36">
        <w:t>Međuinstitucijski</w:t>
      </w:r>
      <w:proofErr w:type="spellEnd"/>
      <w:r w:rsidRPr="001B0C36">
        <w:t xml:space="preserve"> sporazum od 16. prosinca 2020. između Europskog parlamenta, Vijeća Europske unije i Europske komisije o proračunskoj disciplini, suradnji u proračunskim pitanjima i dobrom financijskom up</w:t>
      </w:r>
      <w:bookmarkStart w:id="8" w:name="_GoBack"/>
      <w:bookmarkEnd w:id="8"/>
      <w:r w:rsidRPr="001B0C36">
        <w:t>ravljanju te novim vlastitim sredstvima, uključujući plan za uvođenje novih vlastitih sredstava</w:t>
      </w:r>
      <w:r w:rsidRPr="001B0C36">
        <w:rPr>
          <w:rStyle w:val="FootnoteReference"/>
          <w:noProof/>
        </w:rPr>
        <w:footnoteReference w:id="4"/>
      </w:r>
      <w:r w:rsidRPr="001B0C36">
        <w:t xml:space="preserve">, a posebno njegovu točku </w:t>
      </w:r>
      <w:r w:rsidR="00123DEE" w:rsidRPr="001B0C36">
        <w:t>9</w:t>
      </w:r>
      <w:r w:rsidRPr="001B0C36">
        <w:t>.,</w:t>
      </w:r>
    </w:p>
    <w:p w:rsidR="00893593" w:rsidRPr="001B0C36" w:rsidRDefault="00893593" w:rsidP="00893593">
      <w:pPr>
        <w:pStyle w:val="NormalHanging12a"/>
      </w:pPr>
      <w:r w:rsidRPr="001B0C36">
        <w:lastRenderedPageBreak/>
        <w:t>–</w:t>
      </w:r>
      <w:r w:rsidRPr="001B0C36">
        <w:tab/>
        <w:t>uzimajući u obzir pismo Odbora za zapošljavanje i socijalna pitanja,</w:t>
      </w:r>
    </w:p>
    <w:p w:rsidR="00893593" w:rsidRPr="001B0C36" w:rsidRDefault="00893593" w:rsidP="00893593">
      <w:pPr>
        <w:pStyle w:val="NormalHanging12a"/>
      </w:pPr>
      <w:r w:rsidRPr="001B0C36">
        <w:t>–</w:t>
      </w:r>
      <w:r w:rsidRPr="001B0C36">
        <w:tab/>
        <w:t>uzimajući u obzir izvješće Odbora za proračune (A10</w:t>
      </w:r>
      <w:r w:rsidRPr="001B0C36">
        <w:noBreakHyphen/>
        <w:t>0009/2024),</w:t>
      </w:r>
    </w:p>
    <w:p w:rsidR="00893593" w:rsidRPr="001B0C36" w:rsidRDefault="00893593" w:rsidP="00DF219F">
      <w:pPr>
        <w:pStyle w:val="NormalHanging12a"/>
        <w:ind w:hanging="643"/>
        <w:rPr>
          <w:noProof/>
        </w:rPr>
      </w:pPr>
      <w:r w:rsidRPr="001B0C36">
        <w:t>A.</w:t>
      </w:r>
      <w:r w:rsidRPr="001B0C36">
        <w:tab/>
        <w:t>budući da je Unija uspostavila zakonodavne i proračunske instrumente kako bi pružila dodatnu potporu radnicima suočenima s posljedicama velikih strukturnih promjena u tokovima svjetske trgovine ili svjetske financijske i gospodarske krize te kako bi im se pomoglo da se ponovno uključe na tržište rada; budući da se ta pomoć ostvaruje u obliku financijske potpore radnicima i poduzećima za koja su radili;</w:t>
      </w:r>
    </w:p>
    <w:p w:rsidR="00893593" w:rsidRPr="001B0C36" w:rsidRDefault="00893593" w:rsidP="00DF219F">
      <w:pPr>
        <w:pStyle w:val="NormalHanging12a"/>
        <w:ind w:hanging="643"/>
        <w:rPr>
          <w:noProof/>
        </w:rPr>
      </w:pPr>
      <w:r w:rsidRPr="001B0C36">
        <w:t>B.</w:t>
      </w:r>
      <w:r w:rsidRPr="001B0C36">
        <w:tab/>
        <w:t>budući da je Belgija podnijela zahtjev EGF/2024/001 BE/</w:t>
      </w:r>
      <w:proofErr w:type="spellStart"/>
      <w:r w:rsidRPr="001B0C36">
        <w:t>Match-Smatch</w:t>
      </w:r>
      <w:proofErr w:type="spellEnd"/>
      <w:r w:rsidRPr="001B0C36">
        <w:t xml:space="preserve"> za financijski doprinos iz Europskog fonda za prilagodbu globalizaciji (EGF) nakon što je ukupno 513 radnika</w:t>
      </w:r>
      <w:r w:rsidRPr="001B0C36">
        <w:rPr>
          <w:rStyle w:val="FootnoteReference"/>
        </w:rPr>
        <w:footnoteReference w:id="5"/>
      </w:r>
      <w:r w:rsidRPr="001B0C36">
        <w:t xml:space="preserve"> proglašeno viškom u gospodarskom sektoru razvrstanom u odjeljak 47 NACE-a </w:t>
      </w:r>
      <w:proofErr w:type="spellStart"/>
      <w:r w:rsidRPr="001B0C36">
        <w:t>Rev</w:t>
      </w:r>
      <w:proofErr w:type="spellEnd"/>
      <w:r w:rsidRPr="001B0C36">
        <w:t xml:space="preserve">. 2 (Trgovina na malo, osim trgovine motornim vozilima i motociklima) u pokrajinama </w:t>
      </w:r>
      <w:proofErr w:type="spellStart"/>
      <w:r w:rsidRPr="001B0C36">
        <w:t>Hainaut</w:t>
      </w:r>
      <w:proofErr w:type="spellEnd"/>
      <w:r w:rsidRPr="001B0C36">
        <w:t xml:space="preserve"> (BE32), </w:t>
      </w:r>
      <w:proofErr w:type="spellStart"/>
      <w:r w:rsidRPr="001B0C36">
        <w:t>Liège</w:t>
      </w:r>
      <w:proofErr w:type="spellEnd"/>
      <w:r w:rsidRPr="001B0C36">
        <w:t xml:space="preserve"> (BE33) i </w:t>
      </w:r>
      <w:proofErr w:type="spellStart"/>
      <w:r w:rsidRPr="001B0C36">
        <w:t>Namur</w:t>
      </w:r>
      <w:proofErr w:type="spellEnd"/>
      <w:r w:rsidRPr="001B0C36">
        <w:t xml:space="preserve"> (BE35) s 444 otpuštanja u referentnom razdoblju za zahtjev od 11. prosinca 2023. do 11. travnja 2024. i 69 otpuštanja prije ili nakon tog referentnog razdoblja;</w:t>
      </w:r>
    </w:p>
    <w:p w:rsidR="00893593" w:rsidRPr="001B0C36" w:rsidRDefault="00893593" w:rsidP="00DF219F">
      <w:pPr>
        <w:pStyle w:val="NormalHanging12a"/>
        <w:ind w:hanging="643"/>
        <w:rPr>
          <w:noProof/>
        </w:rPr>
      </w:pPr>
      <w:r w:rsidRPr="001B0C36">
        <w:t>C.</w:t>
      </w:r>
      <w:r w:rsidRPr="001B0C36">
        <w:tab/>
        <w:t xml:space="preserve">budući da se zahtjev odnosi na 444 radnika proglašena viškom u poduzeću </w:t>
      </w:r>
      <w:proofErr w:type="spellStart"/>
      <w:r w:rsidRPr="001B0C36">
        <w:t>Match-Smatch</w:t>
      </w:r>
      <w:proofErr w:type="spellEnd"/>
      <w:r w:rsidRPr="001B0C36">
        <w:t xml:space="preserve"> unutar referentnog razdoblja; </w:t>
      </w:r>
    </w:p>
    <w:p w:rsidR="00893593" w:rsidRPr="001B0C36" w:rsidRDefault="00893593" w:rsidP="00DF219F">
      <w:pPr>
        <w:pStyle w:val="NormalHanging12a"/>
        <w:ind w:hanging="643"/>
        <w:rPr>
          <w:noProof/>
        </w:rPr>
      </w:pPr>
      <w:r w:rsidRPr="001B0C36">
        <w:t>D.</w:t>
      </w:r>
      <w:r w:rsidRPr="001B0C36">
        <w:tab/>
        <w:t xml:space="preserve">budući da se zahtjev odnosi na 69 radnika </w:t>
      </w:r>
      <w:r w:rsidRPr="001B0C36">
        <w:rPr>
          <w:sz w:val="23"/>
        </w:rPr>
        <w:t xml:space="preserve">koji su proglašeni viškom prije ili nakon četveromjesečnog referentnog razdoblja, pri čemu se može utvrditi jasna uzročna veza s događajem koji je doveo do prestanka djelatnosti radnika koji su proglašeni viškom tijekom referentnog razdoblja u skladu s člankom 6. </w:t>
      </w:r>
      <w:r w:rsidR="00675AC0" w:rsidRPr="001B0C36">
        <w:rPr>
          <w:sz w:val="23"/>
        </w:rPr>
        <w:t xml:space="preserve">drugim </w:t>
      </w:r>
      <w:r w:rsidRPr="001B0C36">
        <w:rPr>
          <w:sz w:val="23"/>
        </w:rPr>
        <w:t xml:space="preserve">stavkom. Uredbe o EGF-u; </w:t>
      </w:r>
    </w:p>
    <w:p w:rsidR="00893593" w:rsidRPr="001B0C36" w:rsidRDefault="00893593" w:rsidP="00DF219F">
      <w:pPr>
        <w:pStyle w:val="NormalHanging12a"/>
        <w:ind w:hanging="643"/>
      </w:pPr>
      <w:r w:rsidRPr="001B0C36">
        <w:t>E.</w:t>
      </w:r>
      <w:r w:rsidRPr="001B0C36">
        <w:tab/>
        <w:t xml:space="preserve">budući da se zahtjev temelji na intervencijskim kriterijima iz članka 4. stavka 2. točke (a) Uredbe o EGF-u kojom se </w:t>
      </w:r>
      <w:r w:rsidR="00123DEE" w:rsidRPr="001B0C36">
        <w:t xml:space="preserve">zahtijeva </w:t>
      </w:r>
      <w:r w:rsidRPr="001B0C36">
        <w:t xml:space="preserve">prestanak djelatnosti najmanje 200 radnika koji su proglašeni viškom tijekom referentnog razdoblja od četiri mjeseca u poduzeću u državi članici, uključujući radnike proglašene viškom kod dobavljača i daljnjih proizvođača i/ili samozaposlene osobe koje su prestale sa svojom djelatnošću; </w:t>
      </w:r>
    </w:p>
    <w:p w:rsidR="00893593" w:rsidRPr="001B0C36" w:rsidRDefault="00893593" w:rsidP="00DF219F">
      <w:pPr>
        <w:pStyle w:val="NormalHanging12a"/>
        <w:ind w:hanging="643"/>
      </w:pPr>
      <w:r w:rsidRPr="001B0C36">
        <w:t>F.</w:t>
      </w:r>
      <w:r w:rsidRPr="001B0C36">
        <w:tab/>
        <w:t xml:space="preserve">budući da je belgijski sektor maloprodaje prehrambenih proizvoda zabilježio znatan pad prodanih količina 2023. zbog energetske i inflacijske krize te povećane prekogranične kupovine i e-trgovine; </w:t>
      </w:r>
    </w:p>
    <w:p w:rsidR="00893593" w:rsidRPr="001B0C36" w:rsidRDefault="00893593" w:rsidP="00DF219F">
      <w:pPr>
        <w:pStyle w:val="NormalHanging12a"/>
        <w:ind w:hanging="643"/>
      </w:pPr>
      <w:r w:rsidRPr="001B0C36">
        <w:t>G.</w:t>
      </w:r>
      <w:r w:rsidRPr="001B0C36">
        <w:tab/>
        <w:t xml:space="preserve">budući da se poduzeće </w:t>
      </w:r>
      <w:proofErr w:type="spellStart"/>
      <w:r w:rsidRPr="001B0C36">
        <w:t>Match-Smatch</w:t>
      </w:r>
      <w:proofErr w:type="spellEnd"/>
      <w:r w:rsidRPr="001B0C36">
        <w:t xml:space="preserve"> već nekoliko godina suočava s teškom ekonomskom situacijom i da je 2022. prijavi</w:t>
      </w:r>
      <w:r w:rsidR="00123DEE" w:rsidRPr="001B0C36">
        <w:t>l</w:t>
      </w:r>
      <w:r w:rsidRPr="001B0C36">
        <w:t xml:space="preserve">o bruto operativni gubitak od 36,5 milijuna EUR te da je, kako bi se spriječilo daljnje gomilanje gubitaka, poduzeće </w:t>
      </w:r>
      <w:proofErr w:type="spellStart"/>
      <w:r w:rsidRPr="001B0C36">
        <w:t>Match-Smatch</w:t>
      </w:r>
      <w:proofErr w:type="spellEnd"/>
      <w:r w:rsidRPr="001B0C36">
        <w:t xml:space="preserve"> prihvatilo ponudu grupe </w:t>
      </w:r>
      <w:proofErr w:type="spellStart"/>
      <w:r w:rsidRPr="001B0C36">
        <w:t>Colruyt</w:t>
      </w:r>
      <w:proofErr w:type="spellEnd"/>
      <w:r w:rsidRPr="001B0C36">
        <w:t xml:space="preserve"> za kupnju 57 od 84 trgovine u rujnu 2023., uz preuzimanje osoblja trgovina (1069 osoba); budući da je, osim toga, osam trgovina prodano poduzećima Carrefour, </w:t>
      </w:r>
      <w:proofErr w:type="spellStart"/>
      <w:r w:rsidRPr="001B0C36">
        <w:t>Delhaize</w:t>
      </w:r>
      <w:proofErr w:type="spellEnd"/>
      <w:r w:rsidRPr="001B0C36">
        <w:t xml:space="preserve">, </w:t>
      </w:r>
      <w:proofErr w:type="spellStart"/>
      <w:r w:rsidRPr="001B0C36">
        <w:t>Intermarché</w:t>
      </w:r>
      <w:proofErr w:type="spellEnd"/>
      <w:r w:rsidRPr="001B0C36">
        <w:t xml:space="preserve"> i </w:t>
      </w:r>
      <w:proofErr w:type="spellStart"/>
      <w:r w:rsidRPr="001B0C36">
        <w:t>Delfood</w:t>
      </w:r>
      <w:proofErr w:type="spellEnd"/>
      <w:r w:rsidRPr="001B0C36">
        <w:t>;</w:t>
      </w:r>
    </w:p>
    <w:p w:rsidR="00893593" w:rsidRPr="001B0C36" w:rsidRDefault="00893593" w:rsidP="00DF219F">
      <w:pPr>
        <w:pStyle w:val="NormalHanging12a"/>
        <w:ind w:hanging="643"/>
      </w:pPr>
      <w:r w:rsidRPr="001B0C36">
        <w:t>H.</w:t>
      </w:r>
      <w:r w:rsidRPr="001B0C36">
        <w:tab/>
        <w:t xml:space="preserve">budući da je zbog toga ukupno 513 zaposlenika proglašeno viškom u postupku kolektivnog otpuštanja: 339 zaposlenika 19 trgovina za koje nije bilo moguće pronaći kupca, kao i 174 zaposlenika sjedišta poduzeća </w:t>
      </w:r>
      <w:proofErr w:type="spellStart"/>
      <w:r w:rsidRPr="001B0C36">
        <w:t>Match-Smatch</w:t>
      </w:r>
      <w:proofErr w:type="spellEnd"/>
      <w:r w:rsidRPr="001B0C36">
        <w:t xml:space="preserve">; </w:t>
      </w:r>
    </w:p>
    <w:p w:rsidR="00893593" w:rsidRPr="001B0C36" w:rsidRDefault="00893593" w:rsidP="00893593">
      <w:pPr>
        <w:pStyle w:val="NormalHanging12a"/>
        <w:ind w:hanging="643"/>
        <w:jc w:val="both"/>
      </w:pPr>
      <w:r w:rsidRPr="001B0C36">
        <w:t>I.</w:t>
      </w:r>
      <w:r w:rsidRPr="001B0C36">
        <w:tab/>
        <w:t>budući da su ispunjeni zahtjevi utvrđeni nacionalnim zakonodavstvom i zakonodavstvom Unije o kolektivnom otpuštanju;</w:t>
      </w:r>
    </w:p>
    <w:p w:rsidR="00893593" w:rsidRPr="001B0C36" w:rsidRDefault="00893593" w:rsidP="00DF219F">
      <w:pPr>
        <w:pStyle w:val="NormalHanging12a"/>
        <w:ind w:hanging="643"/>
      </w:pPr>
      <w:r w:rsidRPr="001B0C36">
        <w:t>J.</w:t>
      </w:r>
      <w:r w:rsidRPr="001B0C36">
        <w:tab/>
        <w:t xml:space="preserve">budući da su kvalificiraniji radnici postali traženiji na belgijskom tržištu rada zbog </w:t>
      </w:r>
      <w:r w:rsidRPr="001B0C36">
        <w:lastRenderedPageBreak/>
        <w:t xml:space="preserve">gospodarske krize uzrokovane </w:t>
      </w:r>
      <w:proofErr w:type="spellStart"/>
      <w:r w:rsidRPr="001B0C36">
        <w:t>pandemijom</w:t>
      </w:r>
      <w:proofErr w:type="spellEnd"/>
      <w:r w:rsidRPr="001B0C36">
        <w:t xml:space="preserve"> bolesti COVID-19 pa je bivšim radnicima u poduzeću </w:t>
      </w:r>
      <w:proofErr w:type="spellStart"/>
      <w:r w:rsidRPr="001B0C36">
        <w:t>Match-Smatch</w:t>
      </w:r>
      <w:proofErr w:type="spellEnd"/>
      <w:r w:rsidRPr="001B0C36">
        <w:t xml:space="preserve"> otežano ponovno uključivanje na tržište rada;</w:t>
      </w:r>
    </w:p>
    <w:p w:rsidR="00893593" w:rsidRPr="001B0C36" w:rsidRDefault="00893593" w:rsidP="00DF219F">
      <w:pPr>
        <w:pStyle w:val="NormalHanging12a"/>
        <w:ind w:hanging="643"/>
      </w:pPr>
      <w:r w:rsidRPr="001B0C36">
        <w:t>K.</w:t>
      </w:r>
      <w:r w:rsidRPr="001B0C36">
        <w:tab/>
        <w:t>budući da bi financijski doprinos iz EGF-a ponajprije trebao biti usmjeren na aktivne mjere politike tržišta rada i usluge prilagođene potrebama čiji je cilj brza reintegracija korisnika na dostojanstvena i održiva radna mjesta u istom ili drugom sektoru, pri čemu ih treba pripremiti na zelenije i digitalnije europsko gospodarstvo;</w:t>
      </w:r>
    </w:p>
    <w:p w:rsidR="00893593" w:rsidRPr="001B0C36" w:rsidRDefault="00893593" w:rsidP="00DF219F">
      <w:pPr>
        <w:pStyle w:val="NormalHanging12a"/>
        <w:ind w:hanging="643"/>
      </w:pPr>
      <w:r w:rsidRPr="001B0C36">
        <w:t>L.</w:t>
      </w:r>
      <w:r w:rsidRPr="001B0C36">
        <w:tab/>
        <w:t>budući da se revizijom višegodišnjeg financijskog okvira (VFO) maksimalni godišnji iznos EGF-a smanjuje sa 186 milijuna EUR na 30 milijuna EUR (u cijenama iz 2018.), kako je utvrđeno člankom 8. Uredbe (EU, Euratom) 2020/2093 kako je izmijenjena Uredbom (EU, Euratom) 2024/765; budući da bi Komisija trebala pomno pratiti provedbu EGF-a i da bi sve institucije trebale poduzeti sve potrebne mjere kako bi se pobrinule za to da, unatoč rezovima, otpušteni radnici m</w:t>
      </w:r>
      <w:r w:rsidR="00231989" w:rsidRPr="001B0C36">
        <w:t>ogu računati na solidarnost Unije</w:t>
      </w:r>
      <w:r w:rsidRPr="001B0C36">
        <w:t xml:space="preserve"> zahvaljujući potpori iz EGF-a;</w:t>
      </w:r>
    </w:p>
    <w:p w:rsidR="00893593" w:rsidRPr="001B0C36" w:rsidRDefault="00893593" w:rsidP="00DF219F">
      <w:pPr>
        <w:pStyle w:val="NormalHanging12a"/>
      </w:pPr>
      <w:r w:rsidRPr="001B0C36">
        <w:t>1.</w:t>
      </w:r>
      <w:r w:rsidRPr="001B0C36">
        <w:tab/>
        <w:t>slaže se s Komisijom da su uvjeti iz članka 4. stavka 2. točke (a) Uredbe o EGF-u ispunjeni i da Belgija u skladu s tom Uredbom ima pravo na financijski doprinos u iznosu od 2 661 564 EUR, odnosno 85 % ukupnog troška od 3 131 252 EUR, što obuhvaća troškove za personalizirane usluge u iznosu od 3 009 752 EUR i troškove za aktivnosti pripreme, upravljanja, informiranja i promidžbe te kontrole i izvješćivanja u iznosu od 121 500 EUR;</w:t>
      </w:r>
    </w:p>
    <w:p w:rsidR="00893593" w:rsidRPr="001B0C36" w:rsidRDefault="00893593" w:rsidP="00DF219F">
      <w:pPr>
        <w:pStyle w:val="NormalHanging12a"/>
      </w:pPr>
      <w:r w:rsidRPr="001B0C36">
        <w:t>2.</w:t>
      </w:r>
      <w:r w:rsidRPr="001B0C36">
        <w:tab/>
        <w:t xml:space="preserve">napominje da su belgijske vlasti zahtjev podnijele 3. lipnja 2024. te da je, na temelju dodatnih informacija koje je Belgija pružila, Komisija dovršila ocjenjivanje zahtjeva 16. rujna 2024. i o tome istoga dana obavijestila Parlament; </w:t>
      </w:r>
    </w:p>
    <w:p w:rsidR="00893593" w:rsidRPr="001B0C36" w:rsidRDefault="00893593" w:rsidP="00DF219F">
      <w:pPr>
        <w:pStyle w:val="NormalHanging12a"/>
      </w:pPr>
      <w:r w:rsidRPr="001B0C36">
        <w:t>3.</w:t>
      </w:r>
      <w:r w:rsidRPr="001B0C36">
        <w:tab/>
        <w:t xml:space="preserve">napominje da se zahtjev odnosi na 513 radnika koji su proglašeni viškom i koji su prestali obavljati svoju djelatnost u poduzeću </w:t>
      </w:r>
      <w:proofErr w:type="spellStart"/>
      <w:r w:rsidRPr="001B0C36">
        <w:t>Match-Smatch</w:t>
      </w:r>
      <w:proofErr w:type="spellEnd"/>
      <w:r w:rsidRPr="001B0C36">
        <w:rPr>
          <w:sz w:val="23"/>
        </w:rPr>
        <w:t>;</w:t>
      </w:r>
      <w:r w:rsidRPr="001B0C36">
        <w:t xml:space="preserve"> konstatira, nadalje, da će ukupno 365 radnika koji su proglašeni viškom biti ciljani korisnici te se očekuje da će sudjelovati u mjerama; </w:t>
      </w:r>
    </w:p>
    <w:p w:rsidR="00893593" w:rsidRPr="001B0C36" w:rsidRDefault="00893593" w:rsidP="00DF219F">
      <w:pPr>
        <w:pStyle w:val="Default"/>
        <w:spacing w:after="240"/>
        <w:ind w:left="567" w:hanging="567"/>
        <w:rPr>
          <w:noProof/>
          <w:color w:val="auto"/>
        </w:rPr>
      </w:pPr>
      <w:r w:rsidRPr="001B0C36">
        <w:rPr>
          <w:color w:val="auto"/>
        </w:rPr>
        <w:t xml:space="preserve">4. </w:t>
      </w:r>
      <w:r w:rsidRPr="001B0C36">
        <w:rPr>
          <w:color w:val="auto"/>
        </w:rPr>
        <w:tab/>
        <w:t xml:space="preserve">napominje da je Belgija podnijela zahtjev za sufinanciranje iz EGF-a isključivo za potporu bivšim radnicima poduzeća </w:t>
      </w:r>
      <w:proofErr w:type="spellStart"/>
      <w:r w:rsidRPr="001B0C36">
        <w:rPr>
          <w:color w:val="auto"/>
        </w:rPr>
        <w:t>Match-Smatch</w:t>
      </w:r>
      <w:proofErr w:type="spellEnd"/>
      <w:r w:rsidRPr="001B0C36">
        <w:rPr>
          <w:color w:val="auto"/>
        </w:rPr>
        <w:t xml:space="preserve"> koji žive u Valoniji, s obzirom na stanje na regionalnom tržištu rada </w:t>
      </w:r>
      <w:r w:rsidRPr="001B0C36">
        <w:rPr>
          <w:rStyle w:val="rynqvb"/>
          <w:color w:val="auto"/>
        </w:rPr>
        <w:t>(stopa nezaposlenosti od 8,2 % za 2023.)</w:t>
      </w:r>
      <w:r w:rsidRPr="001B0C36">
        <w:rPr>
          <w:color w:val="auto"/>
        </w:rPr>
        <w:t xml:space="preserve"> i </w:t>
      </w:r>
      <w:r w:rsidRPr="001B0C36">
        <w:rPr>
          <w:rStyle w:val="rynqvb"/>
          <w:color w:val="auto"/>
        </w:rPr>
        <w:t>zato što je više od 70 % otpuštanja koncentrirano u Valoniji</w:t>
      </w:r>
      <w:r w:rsidRPr="001B0C36">
        <w:rPr>
          <w:color w:val="auto"/>
        </w:rPr>
        <w:t>;</w:t>
      </w:r>
    </w:p>
    <w:p w:rsidR="00893593" w:rsidRPr="001B0C36" w:rsidRDefault="00893593" w:rsidP="00DF219F">
      <w:pPr>
        <w:pStyle w:val="Default"/>
        <w:spacing w:after="240"/>
        <w:ind w:left="567" w:hanging="567"/>
        <w:rPr>
          <w:noProof/>
          <w:color w:val="auto"/>
        </w:rPr>
      </w:pPr>
      <w:r w:rsidRPr="001B0C36">
        <w:rPr>
          <w:color w:val="auto"/>
        </w:rPr>
        <w:t xml:space="preserve">5. </w:t>
      </w:r>
      <w:r w:rsidRPr="001B0C36">
        <w:rPr>
          <w:color w:val="auto"/>
        </w:rPr>
        <w:tab/>
        <w:t xml:space="preserve">napominje da je polovina otpuštenih radnika poduzeća </w:t>
      </w:r>
      <w:proofErr w:type="spellStart"/>
      <w:r w:rsidRPr="001B0C36">
        <w:rPr>
          <w:color w:val="auto"/>
        </w:rPr>
        <w:t>Match-Smatch</w:t>
      </w:r>
      <w:proofErr w:type="spellEnd"/>
      <w:r w:rsidRPr="001B0C36">
        <w:rPr>
          <w:color w:val="auto"/>
        </w:rPr>
        <w:t xml:space="preserve"> (46 %) starija od 50 godina, što je dobna skupina koja se suočava s većim preprekama zapošljavanju</w:t>
      </w:r>
      <w:r w:rsidR="00675AC0" w:rsidRPr="001B0C36">
        <w:rPr>
          <w:color w:val="auto"/>
        </w:rPr>
        <w:t>,</w:t>
      </w:r>
      <w:r w:rsidRPr="001B0C36">
        <w:rPr>
          <w:color w:val="auto"/>
        </w:rPr>
        <w:t xml:space="preserve"> i da je u posljednjem tromjesečju 2023. postojala razlika od 18,3 postotna boda između stope zaposlenosti za dobnu skupinu od 20 do 54 godine (76,8 %) i stope zaposlenosti za dobnu skupinu od 55 godina (58,5 %) na nacionalnoj razini</w:t>
      </w:r>
      <w:r w:rsidRPr="001B0C36">
        <w:rPr>
          <w:rStyle w:val="FootnoteReference"/>
          <w:noProof/>
          <w:color w:val="auto"/>
        </w:rPr>
        <w:footnoteReference w:id="6"/>
      </w:r>
      <w:r w:rsidRPr="001B0C36">
        <w:rPr>
          <w:color w:val="auto"/>
        </w:rPr>
        <w:t>; stoga ističe da će prekvalifikacija i usavršavanje radnika u skladu sa zahtjevima tržišta rada za kvalificirana radna mjesta biti izazov, posebno s obzirom na velik broj osoba otpuštenih u isto vrijeme;</w:t>
      </w:r>
    </w:p>
    <w:p w:rsidR="00893593" w:rsidRPr="001B0C36" w:rsidRDefault="00893593" w:rsidP="00DF219F">
      <w:pPr>
        <w:pStyle w:val="Default"/>
        <w:spacing w:after="240"/>
        <w:ind w:left="567" w:hanging="567"/>
        <w:rPr>
          <w:color w:val="auto"/>
        </w:rPr>
      </w:pPr>
      <w:r w:rsidRPr="001B0C36">
        <w:rPr>
          <w:color w:val="auto"/>
        </w:rPr>
        <w:t>6.</w:t>
      </w:r>
      <w:r w:rsidRPr="001B0C36">
        <w:rPr>
          <w:color w:val="auto"/>
        </w:rPr>
        <w:tab/>
        <w:t xml:space="preserve">pozdravlja činjenicu da je Belgija, nakon savjetovanja s ciljanim korisnicima, njihovim predstavnicima i socijalnim partnerima, sastavila koordinirani paket usluga prilagođenih </w:t>
      </w:r>
      <w:r w:rsidR="00DF219F">
        <w:rPr>
          <w:color w:val="auto"/>
        </w:rPr>
        <w:lastRenderedPageBreak/>
        <w:t xml:space="preserve">potrebama </w:t>
      </w:r>
      <w:r w:rsidRPr="001B0C36">
        <w:rPr>
          <w:color w:val="auto"/>
        </w:rPr>
        <w:t xml:space="preserve">kako bi pogođena područja i cjelokupno tržište rada u budućnosti postali održiviji i otporniji; </w:t>
      </w:r>
    </w:p>
    <w:p w:rsidR="00893593" w:rsidRPr="001B0C36" w:rsidRDefault="00893593" w:rsidP="00DF219F">
      <w:pPr>
        <w:pStyle w:val="NormalHanging12a"/>
        <w:rPr>
          <w:b/>
          <w:i/>
        </w:rPr>
      </w:pPr>
      <w:r w:rsidRPr="001B0C36">
        <w:t>7.</w:t>
      </w:r>
      <w:r w:rsidRPr="001B0C36">
        <w:tab/>
        <w:t>podsjeća da se usluge prilagođene potrebama koje će se pružati radnicima i samozaposlenim osobama sastoje od sljedećih mjera: usluge informiranja, profesionalna orijentacija i pomoć pri traženju zamjenskog posla, osposobljavanje, prekvalifikacija i stručno osposobljavanje, podrška i doprinos za osnivanje poduzeća te poticaji i naknade;</w:t>
      </w:r>
      <w:r w:rsidRPr="001B0C36">
        <w:rPr>
          <w:b/>
          <w:i/>
        </w:rPr>
        <w:t xml:space="preserve"> </w:t>
      </w:r>
    </w:p>
    <w:p w:rsidR="00893593" w:rsidRPr="001B0C36" w:rsidRDefault="00893593" w:rsidP="00DF219F">
      <w:pPr>
        <w:pStyle w:val="NormalHanging12a"/>
        <w:rPr>
          <w:b/>
          <w:i/>
        </w:rPr>
      </w:pPr>
      <w:r w:rsidRPr="001B0C36">
        <w:t>8.</w:t>
      </w:r>
      <w:r w:rsidRPr="001B0C36">
        <w:tab/>
        <w:t>podsjeća da belgijske vlasti moraju osigurati da ravnopravnost muškaraca i žena i integracija rodne perspektive budu sastavni dio provedbe mjera i da se promiču tijekom cijelog razdoblja provedbe;</w:t>
      </w:r>
      <w:r w:rsidRPr="001B0C36">
        <w:rPr>
          <w:b/>
          <w:i/>
        </w:rPr>
        <w:t xml:space="preserve"> </w:t>
      </w:r>
    </w:p>
    <w:p w:rsidR="00893593" w:rsidRPr="001B0C36" w:rsidRDefault="00893593" w:rsidP="00DF219F">
      <w:pPr>
        <w:pStyle w:val="NormalHanging12a"/>
      </w:pPr>
      <w:r w:rsidRPr="001B0C36">
        <w:t>9.</w:t>
      </w:r>
      <w:r w:rsidRPr="001B0C36">
        <w:tab/>
        <w:t xml:space="preserve">podsjeća da belgijske vlasti moraju priznati izvor financiranja, kao i jamčiti vidljivost financiranja Unije, te isticati dodanu vrijednost Unije do koje je došlo zahvaljujući intervenciji, i to pružanjem koherentnih, učinkovitih i ciljanih informacija različitoj publici, uključujući usmjerene informacije korisnicima, lokalnim i regionalnim vlastima, socijalnim partnerima, medijima i javnosti; </w:t>
      </w:r>
    </w:p>
    <w:p w:rsidR="00893593" w:rsidRPr="001B0C36" w:rsidRDefault="00893593" w:rsidP="00DF219F">
      <w:pPr>
        <w:pStyle w:val="NormalHanging12a"/>
        <w:rPr>
          <w:noProof/>
        </w:rPr>
      </w:pPr>
      <w:r w:rsidRPr="001B0C36">
        <w:t>10.</w:t>
      </w:r>
      <w:r w:rsidRPr="001B0C36">
        <w:tab/>
        <w:t>pozdravlja činjenicu da su se Regionalna javna služba za zapošljavanje i strukovno osposobljavanje Valonije (</w:t>
      </w:r>
      <w:proofErr w:type="spellStart"/>
      <w:r w:rsidRPr="001B0C36">
        <w:t>Le</w:t>
      </w:r>
      <w:proofErr w:type="spellEnd"/>
      <w:r w:rsidRPr="001B0C36">
        <w:t xml:space="preserve"> </w:t>
      </w:r>
      <w:proofErr w:type="spellStart"/>
      <w:r w:rsidRPr="001B0C36">
        <w:t>Forem</w:t>
      </w:r>
      <w:proofErr w:type="spellEnd"/>
      <w:r w:rsidRPr="001B0C36">
        <w:t xml:space="preserve">), sindikati (FGTB i CSC) i drugi partneri sastali </w:t>
      </w:r>
      <w:r w:rsidR="00123DEE" w:rsidRPr="001B0C36">
        <w:t xml:space="preserve">više puta u </w:t>
      </w:r>
      <w:r w:rsidRPr="001B0C36">
        <w:t>2024. kako bi se bolje razumjele potrebe radnika za prekvalifikacijom, da se savjetovalo i sa socijalnim savjetnicima koji su pratili radnike nakon njihova otpuštanja te da su ti sastanci rezultirali usklađenim paketom mjera EGF-a koji je u skladu s člankom 7. stavkom 4. Uredbe o EGF-u;</w:t>
      </w:r>
    </w:p>
    <w:p w:rsidR="00893593" w:rsidRPr="001B0C36" w:rsidRDefault="00893593" w:rsidP="00DF219F">
      <w:pPr>
        <w:pStyle w:val="NormalHanging12a"/>
      </w:pPr>
      <w:r w:rsidRPr="001B0C36">
        <w:t xml:space="preserve">11. </w:t>
      </w:r>
      <w:r w:rsidRPr="001B0C36">
        <w:tab/>
        <w:t xml:space="preserve">pozdravlja uključivanje modula o kružnom gospodarstvu i učinkovitoj uporabi resursa, koji je razvijen za bivše radnike </w:t>
      </w:r>
      <w:proofErr w:type="spellStart"/>
      <w:r w:rsidRPr="001B0C36">
        <w:t>Swissporta</w:t>
      </w:r>
      <w:proofErr w:type="spellEnd"/>
      <w:r w:rsidRPr="001B0C36">
        <w:t xml:space="preserve"> (EGF/2020/005 BE/</w:t>
      </w:r>
      <w:proofErr w:type="spellStart"/>
      <w:r w:rsidRPr="001B0C36">
        <w:t>Swissport</w:t>
      </w:r>
      <w:proofErr w:type="spellEnd"/>
      <w:r w:rsidRPr="001B0C36">
        <w:t>) kao dio standardne ponude osposobljavanja Regionalne javne službe za zapošljavanje i strukovno osposobljavanje (</w:t>
      </w:r>
      <w:proofErr w:type="spellStart"/>
      <w:r w:rsidRPr="001B0C36">
        <w:t>Forem</w:t>
      </w:r>
      <w:proofErr w:type="spellEnd"/>
      <w:r w:rsidRPr="001B0C36">
        <w:t>), koja će se sufinancirati iz Europskog socijalnog fonda plus (ESF+); u tom kontekstu ponavlja važnu ulogu koju bi Unija trebala imati u pružanju odgovarajućih kvalifikacija za dvostruku transformaciju; snažno podupire činjenicu da će se u razdoblju 2021. 2027. potporom iz EGF-a nastaviti iskazivati solidarnost s relevantnim osobama te pritom zadržati fokus na posljedicama restrukturiranja na radnike; poziva na to da se u budućim zahtjevima u što većoj mjeri ostvari dosljednost politike;</w:t>
      </w:r>
    </w:p>
    <w:p w:rsidR="00893593" w:rsidRPr="001B0C36" w:rsidRDefault="00893593" w:rsidP="00DF219F">
      <w:pPr>
        <w:pStyle w:val="NormalHanging12a"/>
      </w:pPr>
      <w:r w:rsidRPr="001B0C36">
        <w:t xml:space="preserve">12. </w:t>
      </w:r>
      <w:r w:rsidRPr="001B0C36">
        <w:tab/>
        <w:t>smatra da je društvena odgovornost Unije otpuštenim radnicima omogućiti stjecanje potrebnih kvalifikacija za digitalnu i zelenu transformaciju industrije i gospodarstva Unije, što će utjecati i na tržište rada; stoga poziva na to da se posebna pozornost posveti kvalificiranom i relevantnom obrazovanju, uključujući strukovno osposobljavanje;</w:t>
      </w:r>
    </w:p>
    <w:p w:rsidR="00893593" w:rsidRPr="001B0C36" w:rsidRDefault="00893593" w:rsidP="00DF219F">
      <w:pPr>
        <w:pStyle w:val="NormalHanging12a"/>
      </w:pPr>
      <w:r w:rsidRPr="001B0C36">
        <w:t>13.</w:t>
      </w:r>
      <w:r w:rsidRPr="001B0C36">
        <w:tab/>
        <w:t>napominje da je Belgija ciljanim korisnicima počela pružati usluge prilagođene potrebama 1. siječnja 2024. i da će stoga razdoblje prihvatljivosti rashoda za spomenute mjere u vezi s financijskim doprinosom iz EGF-a trajati od 1. siječnja 2024. do datuma koji nastupi 24 mjeseca nakon datuma stupanja na snagu odluke o financiranju;</w:t>
      </w:r>
    </w:p>
    <w:p w:rsidR="00893593" w:rsidRPr="001B0C36" w:rsidRDefault="00893593" w:rsidP="00DF219F">
      <w:pPr>
        <w:pStyle w:val="NormalHanging12a"/>
        <w:rPr>
          <w:sz w:val="23"/>
          <w:szCs w:val="23"/>
        </w:rPr>
      </w:pPr>
      <w:r w:rsidRPr="001B0C36">
        <w:t>14.</w:t>
      </w:r>
      <w:r w:rsidRPr="001B0C36">
        <w:tab/>
        <w:t>napominje da Belgija od 22. rujna 2023. snosi administrativne izdatke provedbe EGF-a te da rashodi za aktivnosti pripreme, upravljanja, informiranja i promidžbe te kontrole i izvješćivanja stoga ispunjavaju uvjete za financijski doprinos iz EGF-a od 22. rujna 2023. do datuma koji nastupi 31 mjesec nakon stupanja na snagu odluke o financiranju;</w:t>
      </w:r>
    </w:p>
    <w:p w:rsidR="00893593" w:rsidRPr="001B0C36" w:rsidRDefault="00893593" w:rsidP="00DF219F">
      <w:pPr>
        <w:pStyle w:val="NormalHanging12a"/>
      </w:pPr>
      <w:r w:rsidRPr="001B0C36">
        <w:lastRenderedPageBreak/>
        <w:t>15.</w:t>
      </w:r>
      <w:r w:rsidRPr="001B0C36">
        <w:tab/>
        <w:t>naglašava da su belgijske vlasti potvrdile da za prihvatljive mjere nije dodijeljena pomoć iz drugih financijskih instrumenata ili fondova Unije te da će se u pristupu predloženim mjerama i u njihovoj provedbi poštovati načela jednakog postupanja i nediskriminacije;</w:t>
      </w:r>
    </w:p>
    <w:p w:rsidR="00893593" w:rsidRPr="001B0C36" w:rsidRDefault="00893593" w:rsidP="00DF219F">
      <w:pPr>
        <w:pStyle w:val="NormalHanging12a"/>
      </w:pPr>
      <w:r w:rsidRPr="001B0C36">
        <w:t>16.</w:t>
      </w:r>
      <w:r w:rsidRPr="001B0C36">
        <w:tab/>
        <w:t xml:space="preserve">ponovno ističe da pomoć iz EGF-a ne smije zamijeniti mjere za koje su prema nacionalnom pravu ili kolektivnim ugovorima odgovorna poduzeća kao ni bilo kakve naknade ili prava radnika proglašenih viškom, kako bi se osigurala potpuna </w:t>
      </w:r>
      <w:proofErr w:type="spellStart"/>
      <w:r w:rsidRPr="001B0C36">
        <w:t>dodatnost</w:t>
      </w:r>
      <w:proofErr w:type="spellEnd"/>
      <w:r w:rsidRPr="001B0C36">
        <w:t xml:space="preserve"> te pomoći; podsjeća da države članice koje podnose zahtjev za financijsku potporu iz EGF-a moraju osigurati da su ispunjeni uvjeti utvrđeni nacionalnim pravom i pravom Unije o kolektivnom otpuštanju te da se predmetno poduzeće u skladu s time pobrinulo za svoje radnike;</w:t>
      </w:r>
    </w:p>
    <w:p w:rsidR="00893593" w:rsidRPr="001B0C36" w:rsidRDefault="00893593" w:rsidP="00DF219F">
      <w:pPr>
        <w:pStyle w:val="NormalHanging12a"/>
        <w:rPr>
          <w:noProof/>
        </w:rPr>
      </w:pPr>
      <w:r w:rsidRPr="001B0C36">
        <w:t>17.</w:t>
      </w:r>
      <w:r w:rsidRPr="001B0C36">
        <w:tab/>
        <w:t>odobrava Odluku priloženu ovoj Rezoluciji;</w:t>
      </w:r>
    </w:p>
    <w:p w:rsidR="00893593" w:rsidRPr="001B0C36" w:rsidRDefault="00893593" w:rsidP="00DF219F">
      <w:pPr>
        <w:pStyle w:val="NormalHanging12a"/>
        <w:rPr>
          <w:noProof/>
        </w:rPr>
      </w:pPr>
      <w:r w:rsidRPr="001B0C36">
        <w:t>18.</w:t>
      </w:r>
      <w:r w:rsidRPr="001B0C36">
        <w:tab/>
        <w:t xml:space="preserve">nalaže svojoj predsjednici da potpiše ovu Odluku zajedno s predsjednikom Vijeća te da je da na objavu u </w:t>
      </w:r>
      <w:r w:rsidRPr="001B0C36">
        <w:rPr>
          <w:i/>
        </w:rPr>
        <w:t>Službenom listu Europske unije</w:t>
      </w:r>
      <w:r w:rsidRPr="001B0C36">
        <w:t>;</w:t>
      </w:r>
    </w:p>
    <w:p w:rsidR="00893593" w:rsidRPr="001B0C36" w:rsidRDefault="00893593" w:rsidP="00DF219F">
      <w:pPr>
        <w:pStyle w:val="NormalHanging12a"/>
      </w:pPr>
      <w:r w:rsidRPr="001B0C36">
        <w:t>19.</w:t>
      </w:r>
      <w:r w:rsidRPr="001B0C36">
        <w:tab/>
        <w:t>nalaže svojoj predsjednici da ovu Rezoluciju, zajedno s njezinim Prilogom, proslijedi Vijeću i Komisiji.</w:t>
      </w:r>
    </w:p>
    <w:p w:rsidR="00893593" w:rsidRPr="001B0C36" w:rsidRDefault="00893593" w:rsidP="00893593">
      <w:pPr>
        <w:rPr>
          <w:noProof/>
        </w:rPr>
      </w:pPr>
    </w:p>
    <w:p w:rsidR="00893593" w:rsidRPr="001B0C36" w:rsidRDefault="00893593" w:rsidP="00893593">
      <w:pPr>
        <w:pStyle w:val="NormalHanging12a"/>
        <w:rPr>
          <w:noProof/>
        </w:rPr>
        <w:sectPr w:rsidR="00893593" w:rsidRPr="001B0C36" w:rsidSect="00FB725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31989" w:rsidRPr="001B0C36" w:rsidRDefault="00893593" w:rsidP="00DF219F">
      <w:pPr>
        <w:pStyle w:val="PageHeading"/>
        <w:rPr>
          <w:rFonts w:ascii="Times New Roman" w:hAnsi="Times New Roman" w:cs="Times New Roman"/>
        </w:rPr>
      </w:pPr>
      <w:bookmarkStart w:id="9" w:name="_Toc180132225"/>
      <w:r w:rsidRPr="001B0C36">
        <w:rPr>
          <w:rFonts w:ascii="Times New Roman" w:hAnsi="Times New Roman" w:cs="Times New Roman"/>
        </w:rPr>
        <w:lastRenderedPageBreak/>
        <w:t>PRILOG</w:t>
      </w:r>
    </w:p>
    <w:p w:rsidR="00893593" w:rsidRPr="001B0C36" w:rsidRDefault="00893593" w:rsidP="00231989">
      <w:pPr>
        <w:pStyle w:val="PageHeading"/>
        <w:rPr>
          <w:rFonts w:ascii="Times New Roman" w:hAnsi="Times New Roman" w:cs="Times New Roman"/>
          <w:noProof/>
        </w:rPr>
      </w:pPr>
      <w:r w:rsidRPr="001B0C36">
        <w:rPr>
          <w:rFonts w:ascii="Times New Roman" w:hAnsi="Times New Roman" w:cs="Times New Roman"/>
        </w:rPr>
        <w:t>ODLUKA EUROPSKOG PARLAMENTA I VIJEĆA</w:t>
      </w:r>
      <w:bookmarkEnd w:id="9"/>
    </w:p>
    <w:p w:rsidR="00893593" w:rsidRDefault="00893593" w:rsidP="00DF219F">
      <w:pPr>
        <w:pStyle w:val="NormalBold24a"/>
        <w:jc w:val="center"/>
      </w:pPr>
      <w:r w:rsidRPr="001B0C36">
        <w:t>o mobilizaciji Europskog fonda za prilagodbu globalizaciji za radnike koji su proglašeni viškom na temelju zah</w:t>
      </w:r>
      <w:r w:rsidR="00DF219F">
        <w:t xml:space="preserve">tjeva Belgije </w:t>
      </w:r>
      <w:r w:rsidR="00DF219F" w:rsidRPr="00916AEC">
        <w:rPr>
          <w:noProof/>
        </w:rPr>
        <w:t xml:space="preserve">– </w:t>
      </w:r>
      <w:r w:rsidR="00DF219F">
        <w:t>EGF/2024/001 BE/</w:t>
      </w:r>
      <w:proofErr w:type="spellStart"/>
      <w:r w:rsidR="00DF219F">
        <w:t>Match-Smatch</w:t>
      </w:r>
      <w:proofErr w:type="spellEnd"/>
    </w:p>
    <w:p w:rsidR="00DF219F" w:rsidRPr="00DF219F" w:rsidRDefault="00DF219F" w:rsidP="00DF219F">
      <w:pPr>
        <w:widowControl/>
        <w:rPr>
          <w:rFonts w:eastAsia="Calibri"/>
          <w:i/>
          <w:szCs w:val="24"/>
          <w:lang w:val="fr-BE" w:eastAsia="en-US"/>
        </w:rPr>
      </w:pPr>
      <w:r w:rsidRPr="00DF219F">
        <w:rPr>
          <w:rFonts w:eastAsia="Calibri"/>
          <w:i/>
          <w:szCs w:val="24"/>
          <w:lang w:eastAsia="en-US"/>
        </w:rPr>
        <w:t xml:space="preserve">(Tekst ovog priloga nije naveden ovdje budući da odgovara konačnom aktu, Odluci </w:t>
      </w:r>
      <w:r>
        <w:rPr>
          <w:rFonts w:eastAsia="Calibri"/>
          <w:i/>
          <w:szCs w:val="24"/>
          <w:lang w:val="fr-BE" w:eastAsia="en-US"/>
        </w:rPr>
        <w:t>(EU) 2024/2854.</w:t>
      </w:r>
      <w:r w:rsidRPr="00DF219F">
        <w:rPr>
          <w:rFonts w:eastAsia="Calibri"/>
          <w:i/>
          <w:szCs w:val="24"/>
          <w:lang w:val="fr-BE" w:eastAsia="en-US"/>
        </w:rPr>
        <w:t>)</w:t>
      </w:r>
    </w:p>
    <w:p w:rsidR="00DF219F" w:rsidRPr="00DF219F" w:rsidRDefault="00DF219F" w:rsidP="00893593">
      <w:pPr>
        <w:pStyle w:val="NormalBold24a"/>
        <w:rPr>
          <w:b w:val="0"/>
        </w:rPr>
      </w:pPr>
    </w:p>
    <w:sectPr w:rsidR="00DF219F" w:rsidRPr="00DF219F" w:rsidSect="00FB72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EBF" w:rsidRPr="00FB725C" w:rsidRDefault="00321EBF">
      <w:r w:rsidRPr="00FB725C">
        <w:separator/>
      </w:r>
    </w:p>
  </w:endnote>
  <w:endnote w:type="continuationSeparator" w:id="0">
    <w:p w:rsidR="00321EBF" w:rsidRPr="00FB725C" w:rsidRDefault="00321EBF">
      <w:r w:rsidRPr="00FB72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593" w:rsidRPr="00FB725C" w:rsidRDefault="00893593" w:rsidP="00A50E78">
    <w:pPr>
      <w:pStyle w:val="EPFooter"/>
    </w:pPr>
    <w:r w:rsidRPr="00FB725C">
      <w:t>PE</w:t>
    </w:r>
    <w:r w:rsidRPr="00FB725C">
      <w:rPr>
        <w:rStyle w:val="HideTWBExt"/>
      </w:rPr>
      <w:t>&lt;NoPE&gt;</w:t>
    </w:r>
    <w:r w:rsidRPr="00FB725C">
      <w:t>763.160</w:t>
    </w:r>
    <w:r w:rsidRPr="00FB725C">
      <w:rPr>
        <w:rStyle w:val="HideTWBExt"/>
      </w:rPr>
      <w:t>&lt;/NoPE&gt;&lt;Version&gt;</w:t>
    </w:r>
    <w:r w:rsidRPr="00FB725C">
      <w:t>v02-00</w:t>
    </w:r>
    <w:r w:rsidRPr="00FB725C">
      <w:rPr>
        <w:rStyle w:val="HideTWBExt"/>
      </w:rPr>
      <w:t>&lt;/Version&gt;</w:t>
    </w:r>
    <w:r w:rsidRPr="00FB725C">
      <w:tab/>
    </w:r>
    <w:r w:rsidRPr="00FB725C">
      <w:fldChar w:fldCharType="begin"/>
    </w:r>
    <w:r w:rsidRPr="00FB725C">
      <w:instrText xml:space="preserve"> PAGE  \* MERGEFORMAT </w:instrText>
    </w:r>
    <w:r w:rsidRPr="00FB725C">
      <w:fldChar w:fldCharType="separate"/>
    </w:r>
    <w:r w:rsidR="00FB725C" w:rsidRPr="00FB725C">
      <w:rPr>
        <w:noProof/>
      </w:rPr>
      <w:t>2</w:t>
    </w:r>
    <w:r w:rsidRPr="00FB725C">
      <w:fldChar w:fldCharType="end"/>
    </w:r>
    <w:r w:rsidRPr="00FB725C">
      <w:t>/</w:t>
    </w:r>
    <w:r w:rsidR="00DF219F">
      <w:fldChar w:fldCharType="begin"/>
    </w:r>
    <w:r w:rsidR="00DF219F">
      <w:instrText xml:space="preserve"> NUMPAGES  \* MERGEFORMAT </w:instrText>
    </w:r>
    <w:r w:rsidR="00DF219F">
      <w:fldChar w:fldCharType="separate"/>
    </w:r>
    <w:r w:rsidR="00FB725C" w:rsidRPr="00FB725C">
      <w:rPr>
        <w:noProof/>
      </w:rPr>
      <w:t>8</w:t>
    </w:r>
    <w:r w:rsidR="00DF219F">
      <w:rPr>
        <w:noProof/>
      </w:rPr>
      <w:fldChar w:fldCharType="end"/>
    </w:r>
    <w:r w:rsidRPr="00FB725C">
      <w:tab/>
    </w:r>
    <w:r w:rsidRPr="00FB725C">
      <w:rPr>
        <w:rStyle w:val="HideTWBExt"/>
      </w:rPr>
      <w:t>&lt;PathFdR&gt;</w:t>
    </w:r>
    <w:r w:rsidRPr="00FB725C">
      <w:t>RR\1308530HR.docx</w:t>
    </w:r>
    <w:r w:rsidRPr="00FB725C">
      <w:rPr>
        <w:rStyle w:val="HideTWBExt"/>
      </w:rPr>
      <w:t>&lt;/PathFdR&gt;</w:t>
    </w:r>
  </w:p>
  <w:p w:rsidR="00893593" w:rsidRPr="00FB725C" w:rsidRDefault="00893593" w:rsidP="00A50E78">
    <w:pPr>
      <w:pStyle w:val="EPFooter2"/>
    </w:pPr>
    <w:r w:rsidRPr="00FB725C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593" w:rsidRPr="00FB725C" w:rsidRDefault="00893593" w:rsidP="00A50E78">
    <w:pPr>
      <w:pStyle w:val="EPFooter"/>
    </w:pPr>
    <w:r w:rsidRPr="00FB725C">
      <w:rPr>
        <w:rStyle w:val="HideTWBExt"/>
      </w:rPr>
      <w:t>&lt;PathFdR&gt;</w:t>
    </w:r>
    <w:r w:rsidRPr="00FB725C">
      <w:t>RR\1308530HR.docx</w:t>
    </w:r>
    <w:r w:rsidRPr="00FB725C">
      <w:rPr>
        <w:rStyle w:val="HideTWBExt"/>
      </w:rPr>
      <w:t>&lt;/PathFdR&gt;</w:t>
    </w:r>
    <w:r w:rsidRPr="00FB725C">
      <w:tab/>
    </w:r>
    <w:r w:rsidRPr="00FB725C">
      <w:tab/>
      <w:t>PE</w:t>
    </w:r>
    <w:r w:rsidRPr="00FB725C">
      <w:rPr>
        <w:rStyle w:val="HideTWBExt"/>
      </w:rPr>
      <w:t>&lt;NoPE&gt;</w:t>
    </w:r>
    <w:r w:rsidRPr="00FB725C">
      <w:t>763.160</w:t>
    </w:r>
    <w:r w:rsidRPr="00FB725C">
      <w:rPr>
        <w:rStyle w:val="HideTWBExt"/>
      </w:rPr>
      <w:t>&lt;/NoPE&gt;&lt;Version&gt;</w:t>
    </w:r>
    <w:r w:rsidRPr="00FB725C">
      <w:t>v02-00</w:t>
    </w:r>
    <w:r w:rsidRPr="00FB725C">
      <w:rPr>
        <w:rStyle w:val="HideTWBExt"/>
      </w:rPr>
      <w:t>&lt;/Version&gt;</w:t>
    </w:r>
  </w:p>
  <w:p w:rsidR="00893593" w:rsidRPr="00FB725C" w:rsidRDefault="00893593" w:rsidP="00A50E78">
    <w:pPr>
      <w:pStyle w:val="EPFooter2"/>
    </w:pPr>
    <w:r w:rsidRPr="00FB725C">
      <w:t>HR</w:t>
    </w:r>
    <w:r w:rsidRPr="00FB725C">
      <w:tab/>
    </w:r>
    <w:r w:rsidRPr="00FB725C">
      <w:rPr>
        <w:b w:val="0"/>
        <w:i/>
        <w:color w:val="C0C0C0"/>
        <w:sz w:val="22"/>
      </w:rPr>
      <w:t>Ujedinjena u raznolikosti</w:t>
    </w:r>
    <w:r w:rsidRPr="00FB725C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25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25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2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EBF" w:rsidRPr="00FB725C" w:rsidRDefault="00321EBF">
      <w:r w:rsidRPr="00FB725C">
        <w:separator/>
      </w:r>
    </w:p>
  </w:footnote>
  <w:footnote w:type="continuationSeparator" w:id="0">
    <w:p w:rsidR="00321EBF" w:rsidRPr="00FB725C" w:rsidRDefault="00321EBF">
      <w:r w:rsidRPr="00FB725C">
        <w:continuationSeparator/>
      </w:r>
    </w:p>
  </w:footnote>
  <w:footnote w:id="1">
    <w:p w:rsidR="00893593" w:rsidRPr="00FB725C" w:rsidRDefault="00893593" w:rsidP="00FB725C">
      <w:pPr>
        <w:pStyle w:val="FootnoteText"/>
        <w:ind w:left="567" w:hanging="567"/>
        <w:rPr>
          <w:sz w:val="24"/>
          <w:lang w:val="hr-HR"/>
        </w:rPr>
      </w:pPr>
      <w:r w:rsidRPr="00FB725C">
        <w:rPr>
          <w:rStyle w:val="FootnoteReference"/>
          <w:sz w:val="24"/>
          <w:lang w:val="hr-HR"/>
        </w:rPr>
        <w:footnoteRef/>
      </w:r>
      <w:r w:rsidR="00FB725C" w:rsidRPr="00FB725C">
        <w:rPr>
          <w:sz w:val="24"/>
          <w:lang w:val="hr-HR"/>
        </w:rPr>
        <w:t xml:space="preserve"> </w:t>
      </w:r>
      <w:r w:rsidR="00FB725C" w:rsidRPr="00FB725C">
        <w:rPr>
          <w:sz w:val="24"/>
          <w:lang w:val="hr-HR"/>
        </w:rPr>
        <w:tab/>
      </w:r>
      <w:r w:rsidRPr="00FB725C">
        <w:rPr>
          <w:sz w:val="24"/>
          <w:lang w:val="hr-HR"/>
        </w:rPr>
        <w:t xml:space="preserve">SL L 153, 3.5.2021., str. 48., ELI: </w:t>
      </w:r>
      <w:hyperlink r:id="rId1" w:history="1">
        <w:r w:rsidRPr="00FB725C">
          <w:rPr>
            <w:rStyle w:val="Hyperlink"/>
            <w:sz w:val="24"/>
            <w:lang w:val="hr-HR"/>
          </w:rPr>
          <w:t>http://data.europa.eu/eli/reg/2021/691/oj</w:t>
        </w:r>
      </w:hyperlink>
      <w:r w:rsidRPr="00FB725C">
        <w:rPr>
          <w:sz w:val="24"/>
          <w:lang w:val="hr-HR"/>
        </w:rPr>
        <w:t>.</w:t>
      </w:r>
    </w:p>
  </w:footnote>
  <w:footnote w:id="2">
    <w:p w:rsidR="00893593" w:rsidRPr="00FB725C" w:rsidRDefault="00893593" w:rsidP="00FB725C">
      <w:pPr>
        <w:pStyle w:val="FootnoteText"/>
        <w:ind w:left="567" w:hanging="567"/>
        <w:rPr>
          <w:sz w:val="24"/>
          <w:lang w:val="hr-HR"/>
        </w:rPr>
      </w:pPr>
      <w:r w:rsidRPr="00FB725C">
        <w:rPr>
          <w:rStyle w:val="FootnoteReference"/>
          <w:sz w:val="24"/>
          <w:lang w:val="hr-HR"/>
        </w:rPr>
        <w:footnoteRef/>
      </w:r>
      <w:r w:rsidR="00FB725C" w:rsidRPr="00FB725C">
        <w:rPr>
          <w:sz w:val="24"/>
          <w:lang w:val="hr-HR"/>
        </w:rPr>
        <w:t xml:space="preserve"> </w:t>
      </w:r>
      <w:r w:rsidR="00FB725C" w:rsidRPr="00FB725C">
        <w:rPr>
          <w:sz w:val="24"/>
          <w:lang w:val="hr-HR"/>
        </w:rPr>
        <w:tab/>
      </w:r>
      <w:r w:rsidRPr="00FB725C">
        <w:rPr>
          <w:sz w:val="24"/>
          <w:lang w:val="hr-HR"/>
        </w:rPr>
        <w:t xml:space="preserve">SL L 433 I, 22.12.2020., str. </w:t>
      </w:r>
      <w:r w:rsidRPr="00FB725C">
        <w:rPr>
          <w:sz w:val="24"/>
          <w:lang w:val="hr-HR"/>
        </w:rPr>
        <w:t xml:space="preserve">11., ELI: </w:t>
      </w:r>
      <w:hyperlink r:id="rId2" w:history="1">
        <w:r w:rsidRPr="00FB725C">
          <w:rPr>
            <w:rStyle w:val="Hyperlink"/>
            <w:sz w:val="24"/>
            <w:lang w:val="hr-HR"/>
          </w:rPr>
          <w:t>http://data.europa.eu/eli/reg/2020/2093/oj</w:t>
        </w:r>
      </w:hyperlink>
      <w:r w:rsidRPr="00FB725C">
        <w:rPr>
          <w:sz w:val="24"/>
          <w:lang w:val="hr-HR"/>
        </w:rPr>
        <w:t>.</w:t>
      </w:r>
    </w:p>
  </w:footnote>
  <w:footnote w:id="3">
    <w:p w:rsidR="00893593" w:rsidRPr="00FB725C" w:rsidRDefault="00893593" w:rsidP="00FB725C">
      <w:pPr>
        <w:pStyle w:val="FootnoteText"/>
        <w:ind w:left="567" w:hanging="567"/>
        <w:rPr>
          <w:sz w:val="24"/>
          <w:lang w:val="hr-HR"/>
        </w:rPr>
      </w:pPr>
      <w:r w:rsidRPr="00FB725C">
        <w:rPr>
          <w:rStyle w:val="FootnoteReference"/>
          <w:sz w:val="24"/>
          <w:lang w:val="hr-HR"/>
        </w:rPr>
        <w:footnoteRef/>
      </w:r>
      <w:r w:rsidR="00FB725C" w:rsidRPr="00FB725C">
        <w:rPr>
          <w:color w:val="333333"/>
          <w:sz w:val="24"/>
          <w:shd w:val="clear" w:color="auto" w:fill="FFFFFF"/>
          <w:lang w:val="hr-HR"/>
        </w:rPr>
        <w:t xml:space="preserve"> </w:t>
      </w:r>
      <w:r w:rsidR="00FB725C" w:rsidRPr="00FB725C">
        <w:rPr>
          <w:color w:val="333333"/>
          <w:sz w:val="24"/>
          <w:shd w:val="clear" w:color="auto" w:fill="FFFFFF"/>
          <w:lang w:val="hr-HR"/>
        </w:rPr>
        <w:tab/>
      </w:r>
      <w:r w:rsidRPr="00FB725C">
        <w:rPr>
          <w:color w:val="333333"/>
          <w:sz w:val="24"/>
          <w:shd w:val="clear" w:color="auto" w:fill="FFFFFF"/>
          <w:lang w:val="hr-HR"/>
        </w:rPr>
        <w:t xml:space="preserve">Uredba Vijeća (EU, Euratom) 2024/765 od 29. veljače 2024. o izmjeni Uredbe (EU, Euratom) 2020/2093 kojom se utvrđuje višegodišnji financijski okvir za razdoblje 2021. – 2027. </w:t>
      </w:r>
      <w:r w:rsidRPr="00FB725C">
        <w:rPr>
          <w:color w:val="333333"/>
          <w:sz w:val="24"/>
          <w:shd w:val="clear" w:color="auto" w:fill="FFFFFF"/>
          <w:lang w:val="hr-HR"/>
        </w:rPr>
        <w:t>(</w:t>
      </w:r>
      <w:r w:rsidRPr="00FB725C">
        <w:rPr>
          <w:sz w:val="24"/>
          <w:lang w:val="hr-HR"/>
        </w:rPr>
        <w:t xml:space="preserve">SL L, 2024/765, 29.2.2024., </w:t>
      </w:r>
      <w:r w:rsidRPr="001B0C36">
        <w:rPr>
          <w:rStyle w:val="Emphasis"/>
          <w:i w:val="0"/>
          <w:color w:val="333333"/>
          <w:sz w:val="24"/>
          <w:shd w:val="clear" w:color="auto" w:fill="FFFFFF"/>
          <w:lang w:val="hr-HR"/>
        </w:rPr>
        <w:t>ELI</w:t>
      </w:r>
      <w:r w:rsidRPr="00FB725C">
        <w:rPr>
          <w:rStyle w:val="Emphasis"/>
          <w:color w:val="333333"/>
          <w:sz w:val="24"/>
          <w:shd w:val="clear" w:color="auto" w:fill="FFFFFF"/>
          <w:lang w:val="hr-HR"/>
        </w:rPr>
        <w:t xml:space="preserve">: </w:t>
      </w:r>
      <w:hyperlink r:id="rId3" w:history="1">
        <w:r w:rsidR="00123DEE" w:rsidRPr="003719A9">
          <w:rPr>
            <w:rStyle w:val="Hyperlink"/>
            <w:sz w:val="24"/>
            <w:shd w:val="clear" w:color="auto" w:fill="FFFFFF"/>
            <w:lang w:val="hr-HR"/>
          </w:rPr>
          <w:t>http://data.europa.eu/eli/reg/2024/765/oj</w:t>
        </w:r>
      </w:hyperlink>
      <w:r w:rsidRPr="00FB725C">
        <w:rPr>
          <w:rStyle w:val="Emphasis"/>
          <w:color w:val="333333"/>
          <w:sz w:val="24"/>
          <w:shd w:val="clear" w:color="auto" w:fill="FFFFFF"/>
          <w:lang w:val="hr-HR"/>
        </w:rPr>
        <w:t>).</w:t>
      </w:r>
      <w:r w:rsidR="00123DEE">
        <w:rPr>
          <w:rStyle w:val="Emphasis"/>
          <w:color w:val="333333"/>
          <w:sz w:val="24"/>
          <w:shd w:val="clear" w:color="auto" w:fill="FFFFFF"/>
          <w:lang w:val="hr-HR"/>
        </w:rPr>
        <w:t xml:space="preserve"> </w:t>
      </w:r>
    </w:p>
  </w:footnote>
  <w:footnote w:id="4">
    <w:p w:rsidR="00893593" w:rsidRPr="00FB725C" w:rsidRDefault="00893593" w:rsidP="00FB725C">
      <w:pPr>
        <w:pStyle w:val="FootnoteText"/>
        <w:ind w:left="567" w:hanging="567"/>
        <w:rPr>
          <w:sz w:val="24"/>
          <w:lang w:val="hr-HR"/>
        </w:rPr>
      </w:pPr>
      <w:r w:rsidRPr="00FB725C">
        <w:rPr>
          <w:rStyle w:val="FootnoteReference"/>
          <w:sz w:val="24"/>
          <w:lang w:val="hr-HR"/>
        </w:rPr>
        <w:footnoteRef/>
      </w:r>
      <w:r w:rsidR="00FB725C" w:rsidRPr="00FB725C">
        <w:rPr>
          <w:sz w:val="24"/>
          <w:lang w:val="hr-HR"/>
        </w:rPr>
        <w:t xml:space="preserve"> </w:t>
      </w:r>
      <w:r w:rsidR="00FB725C" w:rsidRPr="00FB725C">
        <w:rPr>
          <w:sz w:val="24"/>
          <w:lang w:val="hr-HR"/>
        </w:rPr>
        <w:tab/>
      </w:r>
      <w:r w:rsidRPr="00FB725C">
        <w:rPr>
          <w:sz w:val="24"/>
          <w:lang w:val="hr-HR"/>
        </w:rPr>
        <w:t xml:space="preserve">SL L 433 I, 22.12.2020., str. </w:t>
      </w:r>
      <w:r w:rsidRPr="00FB725C">
        <w:rPr>
          <w:sz w:val="24"/>
          <w:lang w:val="hr-HR"/>
        </w:rPr>
        <w:t xml:space="preserve">28., ELI: </w:t>
      </w:r>
      <w:hyperlink r:id="rId4" w:history="1">
        <w:r w:rsidRPr="00FB725C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FB725C">
        <w:rPr>
          <w:sz w:val="24"/>
          <w:lang w:val="hr-HR"/>
        </w:rPr>
        <w:t>.</w:t>
      </w:r>
    </w:p>
  </w:footnote>
  <w:footnote w:id="5">
    <w:p w:rsidR="00893593" w:rsidRPr="00FB725C" w:rsidRDefault="00893593" w:rsidP="00FB725C">
      <w:pPr>
        <w:pStyle w:val="FootnoteText"/>
        <w:ind w:left="567" w:hanging="567"/>
        <w:rPr>
          <w:sz w:val="24"/>
          <w:lang w:val="hr-HR"/>
        </w:rPr>
      </w:pPr>
      <w:r w:rsidRPr="00FB725C">
        <w:rPr>
          <w:rStyle w:val="FootnoteReference"/>
          <w:sz w:val="24"/>
          <w:lang w:val="hr-HR"/>
        </w:rPr>
        <w:footnoteRef/>
      </w:r>
      <w:r w:rsidR="00FB725C" w:rsidRPr="00FB725C">
        <w:rPr>
          <w:sz w:val="24"/>
          <w:lang w:val="hr-HR"/>
        </w:rPr>
        <w:t xml:space="preserve"> </w:t>
      </w:r>
      <w:r w:rsidR="00FB725C" w:rsidRPr="00FB725C">
        <w:rPr>
          <w:sz w:val="24"/>
          <w:lang w:val="hr-HR"/>
        </w:rPr>
        <w:tab/>
      </w:r>
      <w:r w:rsidRPr="00FB725C">
        <w:rPr>
          <w:sz w:val="24"/>
          <w:lang w:val="hr-HR"/>
        </w:rPr>
        <w:t>U smislu članka 3. Uredbe o EGF-u.</w:t>
      </w:r>
    </w:p>
  </w:footnote>
  <w:footnote w:id="6">
    <w:p w:rsidR="00893593" w:rsidRPr="00FB725C" w:rsidRDefault="00893593" w:rsidP="00FB725C">
      <w:pPr>
        <w:pStyle w:val="FootnoteText"/>
        <w:ind w:left="567" w:hanging="567"/>
        <w:rPr>
          <w:sz w:val="24"/>
          <w:lang w:val="hr-HR"/>
        </w:rPr>
      </w:pPr>
      <w:r w:rsidRPr="00FB725C">
        <w:rPr>
          <w:rStyle w:val="FootnoteReference"/>
          <w:sz w:val="24"/>
          <w:lang w:val="hr-HR"/>
        </w:rPr>
        <w:footnoteRef/>
      </w:r>
      <w:r w:rsidR="00FB725C" w:rsidRPr="00FB725C">
        <w:rPr>
          <w:sz w:val="24"/>
          <w:lang w:val="hr-HR"/>
        </w:rPr>
        <w:t xml:space="preserve"> </w:t>
      </w:r>
      <w:r w:rsidR="00FB725C" w:rsidRPr="00FB725C">
        <w:rPr>
          <w:sz w:val="24"/>
          <w:lang w:val="hr-HR"/>
        </w:rPr>
        <w:tab/>
      </w:r>
      <w:hyperlink r:id="rId5" w:anchor="figures" w:history="1">
        <w:proofErr w:type="spellStart"/>
        <w:r w:rsidRPr="00FB725C">
          <w:rPr>
            <w:rStyle w:val="Hyperlink"/>
            <w:sz w:val="24"/>
            <w:lang w:val="hr-HR"/>
          </w:rPr>
          <w:t>Emploi</w:t>
        </w:r>
        <w:proofErr w:type="spellEnd"/>
        <w:r w:rsidRPr="00FB725C">
          <w:rPr>
            <w:rStyle w:val="Hyperlink"/>
            <w:sz w:val="24"/>
            <w:lang w:val="hr-HR"/>
          </w:rPr>
          <w:t xml:space="preserve"> </w:t>
        </w:r>
        <w:proofErr w:type="spellStart"/>
        <w:r w:rsidRPr="00FB725C">
          <w:rPr>
            <w:rStyle w:val="Hyperlink"/>
            <w:sz w:val="24"/>
            <w:lang w:val="hr-HR"/>
          </w:rPr>
          <w:t>et</w:t>
        </w:r>
        <w:proofErr w:type="spellEnd"/>
        <w:r w:rsidRPr="00FB725C">
          <w:rPr>
            <w:rStyle w:val="Hyperlink"/>
            <w:sz w:val="24"/>
            <w:lang w:val="hr-HR"/>
          </w:rPr>
          <w:t xml:space="preserve"> </w:t>
        </w:r>
        <w:proofErr w:type="spellStart"/>
        <w:r w:rsidRPr="00FB725C">
          <w:rPr>
            <w:rStyle w:val="Hyperlink"/>
            <w:sz w:val="24"/>
            <w:lang w:val="hr-HR"/>
          </w:rPr>
          <w:t>chômage</w:t>
        </w:r>
        <w:proofErr w:type="spellEnd"/>
        <w:r w:rsidRPr="00FB725C">
          <w:rPr>
            <w:rStyle w:val="Hyperlink"/>
            <w:sz w:val="24"/>
            <w:lang w:val="hr-HR"/>
          </w:rPr>
          <w:t xml:space="preserve"> (13.6.2024.). </w:t>
        </w:r>
        <w:proofErr w:type="spellStart"/>
        <w:r w:rsidRPr="00FB725C">
          <w:rPr>
            <w:rStyle w:val="Hyperlink"/>
            <w:sz w:val="24"/>
            <w:lang w:val="hr-HR"/>
          </w:rPr>
          <w:t>Chiffres</w:t>
        </w:r>
        <w:proofErr w:type="spellEnd"/>
        <w:r w:rsidRPr="00FB725C">
          <w:rPr>
            <w:rStyle w:val="Hyperlink"/>
            <w:sz w:val="24"/>
            <w:lang w:val="hr-HR"/>
          </w:rPr>
          <w:t>. (Belgijski zavod za statistiku. Pregled zaposlenosti i nezaposlenosti)</w:t>
        </w:r>
      </w:hyperlink>
      <w:r w:rsidRPr="00FB725C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2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2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2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9/2024"/>
    <w:docVar w:name="dvlangue" w:val="HR"/>
    <w:docVar w:name="dvnumam" w:val="0"/>
    <w:docVar w:name="dvpe" w:val="763.160"/>
    <w:docVar w:name="dvrapporteur" w:val="Izvjestitelj: "/>
    <w:docVar w:name="dvtitre" w:val="Rezolucija Europskog parlamenta od .... 2024. o Prijedlogu odluke Europskog parlamenta i Vijeća o mobilizaciji Europskog fonda za prilagodbu globalizaciji za radnike koji su proglašeni viškom na temelju zahtjeva Belgije – EGF/2024/001 BE/Match-Smatch(COM(2024)0275 – C10-0101/2024 – 2024/0226(BUD))"/>
  </w:docVars>
  <w:rsids>
    <w:rsidRoot w:val="00321EBF"/>
    <w:rsid w:val="00002272"/>
    <w:rsid w:val="00064002"/>
    <w:rsid w:val="000677B9"/>
    <w:rsid w:val="000831BA"/>
    <w:rsid w:val="000A42CC"/>
    <w:rsid w:val="000E7DD9"/>
    <w:rsid w:val="0010095E"/>
    <w:rsid w:val="00123DEE"/>
    <w:rsid w:val="00125B37"/>
    <w:rsid w:val="00187494"/>
    <w:rsid w:val="001B0C36"/>
    <w:rsid w:val="001B1A6A"/>
    <w:rsid w:val="001F32AE"/>
    <w:rsid w:val="00231989"/>
    <w:rsid w:val="002767FF"/>
    <w:rsid w:val="002B18FE"/>
    <w:rsid w:val="002B5493"/>
    <w:rsid w:val="00321EB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5AC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59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1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25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482E3"/>
  <w15:chartTrackingRefBased/>
  <w15:docId w15:val="{3EEE10EE-1F81-4AD1-914C-AC378683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9359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8935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89359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935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93593"/>
    <w:rPr>
      <w:sz w:val="24"/>
      <w:lang w:val="hr-HR"/>
    </w:rPr>
  </w:style>
  <w:style w:type="paragraph" w:customStyle="1" w:styleId="NormalBold24a">
    <w:name w:val="NormalBold24a"/>
    <w:basedOn w:val="Normal"/>
    <w:rsid w:val="00893593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89359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93593"/>
    <w:pPr>
      <w:spacing w:before="480" w:after="240"/>
    </w:pPr>
  </w:style>
  <w:style w:type="character" w:styleId="Hyperlink">
    <w:name w:val="Hyperlink"/>
    <w:basedOn w:val="DefaultParagraphFont"/>
    <w:uiPriority w:val="99"/>
    <w:rsid w:val="0089359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893593"/>
    <w:rPr>
      <w:sz w:val="24"/>
      <w:lang w:val="hr-HR"/>
    </w:rPr>
  </w:style>
  <w:style w:type="paragraph" w:customStyle="1" w:styleId="Default">
    <w:name w:val="Default"/>
    <w:rsid w:val="00893593"/>
    <w:pPr>
      <w:autoSpaceDE w:val="0"/>
      <w:autoSpaceDN w:val="0"/>
      <w:adjustRightInd w:val="0"/>
    </w:pPr>
    <w:rPr>
      <w:color w:val="000000"/>
      <w:sz w:val="24"/>
      <w:szCs w:val="24"/>
      <w:lang w:val="hr-HR"/>
    </w:rPr>
  </w:style>
  <w:style w:type="character" w:customStyle="1" w:styleId="rynqvb">
    <w:name w:val="rynqvb"/>
    <w:basedOn w:val="DefaultParagraphFont"/>
    <w:rsid w:val="00893593"/>
  </w:style>
  <w:style w:type="paragraph" w:customStyle="1" w:styleId="Institutionquisigne">
    <w:name w:val="Institution qui signe"/>
    <w:basedOn w:val="Normal"/>
    <w:next w:val="Normal"/>
    <w:rsid w:val="0089359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9359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9359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9359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9359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93593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893593"/>
    <w:rPr>
      <w:i/>
      <w:iCs/>
    </w:rPr>
  </w:style>
  <w:style w:type="paragraph" w:customStyle="1" w:styleId="Personnequisigne">
    <w:name w:val="Personne qui signe"/>
    <w:basedOn w:val="Normal"/>
    <w:next w:val="Institutionquisigne"/>
    <w:rsid w:val="00893593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893593"/>
    <w:rPr>
      <w:rFonts w:ascii="Arial" w:hAnsi="Arial" w:cs="Arial"/>
      <w:b/>
      <w:sz w:val="24"/>
      <w:lang w:val="hr-HR"/>
    </w:rPr>
  </w:style>
  <w:style w:type="character" w:styleId="FollowedHyperlink">
    <w:name w:val="FollowedHyperlink"/>
    <w:basedOn w:val="DefaultParagraphFont"/>
    <w:rsid w:val="0023198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675A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5AC0"/>
    <w:rPr>
      <w:rFonts w:ascii="Segoe UI" w:hAnsi="Segoe UI" w:cs="Segoe UI"/>
      <w:sz w:val="18"/>
      <w:szCs w:val="18"/>
      <w:lang w:val="hr-HR"/>
    </w:rPr>
  </w:style>
  <w:style w:type="paragraph" w:styleId="Footer">
    <w:name w:val="footer"/>
    <w:basedOn w:val="Normal"/>
    <w:link w:val="FooterChar"/>
    <w:rsid w:val="00DF21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219F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s://eur-lex.europa.eu/legal-content/HR/TXT/HTML/?uri=CELEX:32020R2093" TargetMode="External"/><Relationship Id="rId1" Type="http://schemas.openxmlformats.org/officeDocument/2006/relationships/hyperlink" Target="https://eur-lex.europa.eu/eli/reg/2021/691/oj?eliuri=eli:reg:2021:691:oj&amp;locale=hr" TargetMode="External"/><Relationship Id="rId5" Type="http://schemas.openxmlformats.org/officeDocument/2006/relationships/hyperlink" Target="https://statbel.fgov.be/fr/themes/emploi-formation/marche-du-travail/emploi-et-chomage" TargetMode="External"/><Relationship Id="rId4" Type="http://schemas.openxmlformats.org/officeDocument/2006/relationships/hyperlink" Target="https://eur-lex.europa.eu/legal-content/HR/TXT/HTML/?uri=CELEX:32020Q1222(0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350FF-26BD-4DBA-8C9C-7108A5289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1779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2024-11-21T13:59:00Z</dcterms:created>
  <dcterms:modified xsi:type="dcterms:W3CDTF">2024-11-21T13:59:00Z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P10_TA(2024)0025_</vt:lpwstr>
  </property>
  <property fmtid="{D5CDD505-2E9C-101B-9397-08002B2CF9AE}" pid="4" name="&lt;Type&gt;">
    <vt:lpwstr>RR</vt:lpwstr>
  </property>
</Properties>
</file>