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25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25D7" w:rsidRDefault="002C28E9" w:rsidP="0010095E">
            <w:pPr>
              <w:pStyle w:val="EPName"/>
            </w:pPr>
            <w:r w:rsidRPr="009425D7">
              <w:t>Európai Parlament</w:t>
            </w:r>
          </w:p>
          <w:p w:rsidR="00751A4A" w:rsidRPr="009425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25D7">
              <w:t>2024</w:t>
            </w:r>
            <w:r w:rsidR="00817416" w:rsidRPr="009425D7">
              <w:t>-202</w:t>
            </w:r>
            <w:r w:rsidRPr="009425D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425D7" w:rsidRDefault="00187494" w:rsidP="0010095E">
            <w:pPr>
              <w:pStyle w:val="EPLogo"/>
            </w:pPr>
            <w:r w:rsidRPr="009425D7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25D7" w:rsidRDefault="00D058B8" w:rsidP="004C5D52">
      <w:pPr>
        <w:pStyle w:val="LineTop"/>
      </w:pPr>
    </w:p>
    <w:p w:rsidR="00680577" w:rsidRPr="009425D7" w:rsidRDefault="002C28E9" w:rsidP="00680577">
      <w:pPr>
        <w:pStyle w:val="EPBodyTA1"/>
      </w:pPr>
      <w:r w:rsidRPr="009425D7">
        <w:t>ELFOGADOTT SZÖVEGEK</w:t>
      </w:r>
    </w:p>
    <w:p w:rsidR="00D058B8" w:rsidRPr="009425D7" w:rsidRDefault="00D058B8" w:rsidP="00D058B8">
      <w:pPr>
        <w:pStyle w:val="LineBottom"/>
      </w:pPr>
    </w:p>
    <w:p w:rsidR="002C28E9" w:rsidRPr="009425D7" w:rsidRDefault="002C28E9" w:rsidP="002C28E9">
      <w:pPr>
        <w:pStyle w:val="ATHeading1"/>
      </w:pPr>
      <w:bookmarkStart w:id="0" w:name="TANumber"/>
      <w:r w:rsidRPr="009425D7">
        <w:t>P10_TA(2024)00</w:t>
      </w:r>
      <w:r w:rsidR="00E21546">
        <w:t>25</w:t>
      </w:r>
      <w:bookmarkEnd w:id="0"/>
    </w:p>
    <w:p w:rsidR="002C28E9" w:rsidRPr="009425D7" w:rsidRDefault="002C28E9" w:rsidP="002C28E9">
      <w:pPr>
        <w:pStyle w:val="ATHeading2"/>
      </w:pPr>
      <w:bookmarkStart w:id="1" w:name="title"/>
      <w:r w:rsidRPr="009425D7">
        <w:t>Az Európai Globalizációs Alkalmazkodási Alap igénybevétele: az EGF/2024/001 BE/Match-Smatch kérelem</w:t>
      </w:r>
      <w:bookmarkEnd w:id="1"/>
    </w:p>
    <w:p w:rsidR="002C28E9" w:rsidRPr="009425D7" w:rsidRDefault="002C28E9" w:rsidP="002C28E9">
      <w:pPr>
        <w:rPr>
          <w:i/>
          <w:vanish/>
        </w:rPr>
      </w:pPr>
      <w:r w:rsidRPr="009425D7">
        <w:rPr>
          <w:i/>
        </w:rPr>
        <w:fldChar w:fldCharType="begin"/>
      </w:r>
      <w:r w:rsidRPr="009425D7">
        <w:rPr>
          <w:i/>
        </w:rPr>
        <w:instrText xml:space="preserve"> TC"(</w:instrText>
      </w:r>
      <w:bookmarkStart w:id="2" w:name="DocNumber"/>
      <w:r w:rsidRPr="009425D7">
        <w:rPr>
          <w:i/>
        </w:rPr>
        <w:instrText>A10-0009/2024</w:instrText>
      </w:r>
      <w:bookmarkEnd w:id="2"/>
      <w:r w:rsidRPr="009425D7">
        <w:rPr>
          <w:i/>
        </w:rPr>
        <w:instrText xml:space="preserve"> - Előadó: Michalis Hadjipantela)"\l3 \n&gt; \* MERGEFORMAT </w:instrText>
      </w:r>
      <w:r w:rsidRPr="009425D7">
        <w:rPr>
          <w:i/>
        </w:rPr>
        <w:fldChar w:fldCharType="end"/>
      </w:r>
    </w:p>
    <w:p w:rsidR="002C28E9" w:rsidRPr="009425D7" w:rsidRDefault="002C28E9" w:rsidP="002C28E9">
      <w:pPr>
        <w:rPr>
          <w:vanish/>
        </w:rPr>
      </w:pPr>
      <w:bookmarkStart w:id="3" w:name="Commission"/>
      <w:r w:rsidRPr="009425D7">
        <w:rPr>
          <w:vanish/>
        </w:rPr>
        <w:t>Költségvetési Bizottság</w:t>
      </w:r>
      <w:bookmarkEnd w:id="3"/>
    </w:p>
    <w:p w:rsidR="002C28E9" w:rsidRPr="009425D7" w:rsidRDefault="002C28E9" w:rsidP="002C28E9">
      <w:pPr>
        <w:rPr>
          <w:vanish/>
        </w:rPr>
      </w:pPr>
      <w:bookmarkStart w:id="4" w:name="PE"/>
      <w:r w:rsidRPr="009425D7">
        <w:rPr>
          <w:vanish/>
        </w:rPr>
        <w:t>PE763.160</w:t>
      </w:r>
      <w:bookmarkEnd w:id="4"/>
    </w:p>
    <w:p w:rsidR="002C28E9" w:rsidRPr="009425D7" w:rsidRDefault="002C28E9" w:rsidP="002C28E9">
      <w:pPr>
        <w:pStyle w:val="ATHeading3"/>
      </w:pPr>
      <w:bookmarkStart w:id="5" w:name="Sujet"/>
      <w:r w:rsidRPr="009425D7">
        <w:t xml:space="preserve">Az Európai Parlament 2024. </w:t>
      </w:r>
      <w:r w:rsidR="0079434C">
        <w:t>október</w:t>
      </w:r>
      <w:r w:rsidRPr="009425D7">
        <w:t xml:space="preserve"> </w:t>
      </w:r>
      <w:r w:rsidR="0079434C">
        <w:t>22</w:t>
      </w:r>
      <w:r w:rsidRPr="009425D7">
        <w:t>-i állásfoglalása az elbocsátott munkavállalók támogatását szolgáló Európai Globalizációs Alkalmazkodási Alap igénybevételéről szóló európai parlamenti és tan</w:t>
      </w:r>
      <w:bookmarkStart w:id="6" w:name="_GoBack"/>
      <w:bookmarkEnd w:id="6"/>
      <w:r w:rsidRPr="009425D7">
        <w:t>ácsi határozatra irányuló javaslatról (Belgium kérelme – EGF/2024/001 BE/Match-Smatch)</w:t>
      </w:r>
      <w:bookmarkEnd w:id="5"/>
      <w:r w:rsidRPr="009425D7">
        <w:t xml:space="preserve"> </w:t>
      </w:r>
      <w:bookmarkStart w:id="7" w:name="References"/>
      <w:r w:rsidRPr="009425D7">
        <w:t>(COM(2024)0275 – C10-0101/2024 – 2024/0226(BUD))</w:t>
      </w:r>
      <w:bookmarkEnd w:id="7"/>
    </w:p>
    <w:p w:rsidR="00B45416" w:rsidRPr="009425D7" w:rsidRDefault="00B45416" w:rsidP="00644EA1">
      <w:pPr>
        <w:pStyle w:val="EPComma"/>
        <w:widowControl/>
        <w:spacing w:before="360"/>
        <w:ind w:left="567" w:hanging="567"/>
        <w:rPr>
          <w:noProof/>
        </w:rPr>
      </w:pPr>
      <w:bookmarkStart w:id="8" w:name="TextBodyBegin"/>
      <w:bookmarkEnd w:id="8"/>
      <w:r w:rsidRPr="009425D7">
        <w:rPr>
          <w:i/>
          <w:iCs/>
        </w:rPr>
        <w:t>Az Európai Parlament</w:t>
      </w:r>
      <w:r w:rsidRPr="009425D7">
        <w:t>,</w:t>
      </w:r>
    </w:p>
    <w:p w:rsidR="00B45416" w:rsidRPr="009425D7" w:rsidRDefault="00B45416" w:rsidP="0079434C">
      <w:pPr>
        <w:pStyle w:val="NormalHanging12a"/>
        <w:widowControl/>
        <w:rPr>
          <w:noProof/>
        </w:rPr>
      </w:pPr>
      <w:r w:rsidRPr="009425D7">
        <w:t>–</w:t>
      </w:r>
      <w:r w:rsidRPr="009425D7">
        <w:tab/>
        <w:t>tekintettel a Bizottságnak az Európai Parlamenthez és a Tanácshoz intézett javaslatára (COM(2024)0275 – C10</w:t>
      </w:r>
      <w:r w:rsidRPr="009425D7">
        <w:noBreakHyphen/>
        <w:t>0101/2024),</w:t>
      </w:r>
    </w:p>
    <w:p w:rsidR="00B45416" w:rsidRPr="009425D7" w:rsidRDefault="00B45416" w:rsidP="0079434C">
      <w:pPr>
        <w:pStyle w:val="NormalHanging12a"/>
        <w:widowControl/>
        <w:rPr>
          <w:noProof/>
        </w:rPr>
      </w:pPr>
      <w:r w:rsidRPr="009425D7">
        <w:t>–</w:t>
      </w:r>
      <w:r w:rsidRPr="009425D7">
        <w:tab/>
        <w:t>tekintettel az elbocsátott munkavállalók támogatását szolgáló Európai Globalizációs Alkalmazkodási Alapról (EGAA) és az 1309/2013/EU rendelet hatályon kívül helyezéséről szóló, 2021. április 28-i (EU) 2021/691 európai parlamenti és tanácsi rendeletre</w:t>
      </w:r>
      <w:r w:rsidRPr="009425D7">
        <w:rPr>
          <w:rStyle w:val="FootnoteReference"/>
        </w:rPr>
        <w:footnoteReference w:id="1"/>
      </w:r>
      <w:r w:rsidRPr="009425D7">
        <w:t xml:space="preserve">(a továbbiakban: </w:t>
      </w:r>
      <w:r w:rsidR="00615167">
        <w:t xml:space="preserve">az </w:t>
      </w:r>
      <w:r w:rsidRPr="009425D7">
        <w:t>EGAA-rendelet),</w:t>
      </w:r>
    </w:p>
    <w:p w:rsidR="00B45416" w:rsidRPr="009425D7" w:rsidRDefault="00B45416" w:rsidP="00E21546">
      <w:pPr>
        <w:pStyle w:val="NormalHanging12a"/>
        <w:widowControl/>
        <w:rPr>
          <w:noProof/>
        </w:rPr>
      </w:pPr>
      <w:r w:rsidRPr="009425D7">
        <w:t>–</w:t>
      </w:r>
      <w:r w:rsidRPr="009425D7">
        <w:tab/>
        <w:t>tekintettel az (EU, Euratom) 2024/765 rendelettel</w:t>
      </w:r>
      <w:r w:rsidRPr="009425D7">
        <w:rPr>
          <w:rStyle w:val="FootnoteReference"/>
          <w:bdr w:val="none" w:sz="0" w:space="0" w:color="auto" w:frame="1"/>
        </w:rPr>
        <w:footnoteReference w:id="2"/>
      </w:r>
      <w:r w:rsidRPr="009425D7">
        <w:t xml:space="preserve"> módosított, a 2021–2027-es időszakra vonatkozó többéves pénzügyi keretről szóló, 2020. december 17-i (EU, Euratom) 2020/2093 tanácsi rendeletre</w:t>
      </w:r>
      <w:r w:rsidRPr="009425D7">
        <w:rPr>
          <w:rStyle w:val="FootnoteReference"/>
          <w:noProof/>
        </w:rPr>
        <w:footnoteReference w:id="3"/>
      </w:r>
      <w:r w:rsidRPr="009425D7">
        <w:t xml:space="preserve"> és különösen annak 8. cikkére,</w:t>
      </w:r>
    </w:p>
    <w:p w:rsidR="00B45416" w:rsidRPr="009425D7" w:rsidRDefault="00B45416" w:rsidP="0079434C">
      <w:pPr>
        <w:pStyle w:val="NormalHanging12a"/>
        <w:widowControl/>
        <w:rPr>
          <w:noProof/>
        </w:rPr>
      </w:pPr>
      <w:r w:rsidRPr="009425D7">
        <w:t>–</w:t>
      </w:r>
      <w:r w:rsidRPr="009425D7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irányuló ütemtervről szóló, 2020. december 16-i intézményközi megállapodásra</w:t>
      </w:r>
      <w:r w:rsidRPr="009425D7">
        <w:rPr>
          <w:rStyle w:val="FootnoteReference"/>
          <w:noProof/>
        </w:rPr>
        <w:footnoteReference w:id="4"/>
      </w:r>
      <w:r w:rsidRPr="009425D7">
        <w:t xml:space="preserve"> és különösen annak 9. pontjára,</w:t>
      </w:r>
    </w:p>
    <w:p w:rsidR="00B45416" w:rsidRPr="009425D7" w:rsidRDefault="00B45416" w:rsidP="0079434C">
      <w:pPr>
        <w:pStyle w:val="NormalHanging12a"/>
        <w:widowControl/>
        <w:jc w:val="both"/>
        <w:rPr>
          <w:noProof/>
        </w:rPr>
      </w:pPr>
      <w:r w:rsidRPr="009425D7">
        <w:lastRenderedPageBreak/>
        <w:t>–</w:t>
      </w:r>
      <w:r w:rsidRPr="009425D7">
        <w:tab/>
        <w:t>tekintettel a Foglalkoztatási és Szociális Bizottság levelére,</w:t>
      </w:r>
    </w:p>
    <w:p w:rsidR="00B45416" w:rsidRPr="009425D7" w:rsidRDefault="00B45416" w:rsidP="0079434C">
      <w:pPr>
        <w:pStyle w:val="NormalHanging12a"/>
        <w:widowControl/>
        <w:jc w:val="both"/>
      </w:pPr>
      <w:r w:rsidRPr="009425D7">
        <w:t>–</w:t>
      </w:r>
      <w:r w:rsidRPr="009425D7">
        <w:tab/>
        <w:t>tekintettel a Költségvetési Bizottság jelentésére (A10-0009/2024),</w:t>
      </w:r>
    </w:p>
    <w:p w:rsidR="00B45416" w:rsidRPr="009425D7" w:rsidRDefault="00B45416" w:rsidP="0079434C">
      <w:pPr>
        <w:pStyle w:val="NormalHanging12a"/>
        <w:widowControl/>
        <w:rPr>
          <w:noProof/>
        </w:rPr>
      </w:pPr>
      <w:r w:rsidRPr="009425D7">
        <w:t>A.</w:t>
      </w:r>
      <w:r w:rsidRPr="009425D7">
        <w:tab/>
        <w:t>mivel az Unió jogalkotási és költségvetési eszközöket hozott létre ahhoz, hogy további támogatást nyújtson a világkereskedelem fő strukturális változásainak következményei által sújtott vagy a globális pénzügyi és gazdasági válság következtében elbocsátott munkavállalóknak, és támogassa újbóli munkaerőpiaci beilleszkedésüket; mivel ez a támogatás a munkavállalóknak és azoknak a vállalatoknak nyújtott pénzügyi támogatáson keresztül valósul meg, amelyeknek dolgoztak;</w:t>
      </w:r>
    </w:p>
    <w:p w:rsidR="00B45416" w:rsidRPr="009425D7" w:rsidRDefault="00B45416" w:rsidP="0079434C">
      <w:pPr>
        <w:pStyle w:val="NormalHanging12a"/>
        <w:widowControl/>
        <w:rPr>
          <w:noProof/>
        </w:rPr>
      </w:pPr>
      <w:r w:rsidRPr="009425D7">
        <w:t>B.</w:t>
      </w:r>
      <w:r w:rsidRPr="009425D7">
        <w:tab/>
        <w:t>mivel Belgium a NACE Rev. 2. rendszer szerinti 47. gazdasági ágazatban (Kiskereskedelem, kivéve: gépjármű és motorkerékpár) az Hainaut (BE32), Liège (BE33) és Namur (BE35) tartományokban a 2023. december 11. és 2024. április 11. közötti referencia-időszakban bekövetkezett 444 elbocsátást, valamint a referencia-időszak előtt vagy után bekövetkezett 69 elbocsátást, azaz összesen 513 elbocsátást</w:t>
      </w:r>
      <w:r w:rsidRPr="009425D7">
        <w:rPr>
          <w:rStyle w:val="FootnoteReference"/>
        </w:rPr>
        <w:footnoteReference w:id="5"/>
      </w:r>
      <w:r w:rsidRPr="009425D7">
        <w:t xml:space="preserve"> követően „EGF/2024/001 BE/Match-Smatch” referenciaszámmal az Európai Globalizációs Alkalmazkodási Alapból (EGAA) nyújtandó pénzügyi hozzájárulás iránti kérelmet nyújtott be;</w:t>
      </w:r>
    </w:p>
    <w:p w:rsidR="00B45416" w:rsidRPr="009425D7" w:rsidRDefault="00B45416" w:rsidP="0079434C">
      <w:pPr>
        <w:pStyle w:val="NormalHanging12a"/>
        <w:widowControl/>
        <w:rPr>
          <w:noProof/>
        </w:rPr>
      </w:pPr>
      <w:r w:rsidRPr="009425D7">
        <w:t>C.</w:t>
      </w:r>
      <w:r w:rsidRPr="009425D7">
        <w:tab/>
        <w:t xml:space="preserve">mivel a kérelem 444 olyan munkavállalóra vonatkozik, akiket a referencia-időszakban bocsátottak el, és akiknek a tevékenysége a Match-Smatch vállalatnál szűnt meg; </w:t>
      </w:r>
    </w:p>
    <w:p w:rsidR="00B45416" w:rsidRPr="009425D7" w:rsidRDefault="00B45416" w:rsidP="0079434C">
      <w:pPr>
        <w:pStyle w:val="NormalHanging12a"/>
        <w:widowControl/>
        <w:rPr>
          <w:noProof/>
        </w:rPr>
      </w:pPr>
      <w:r w:rsidRPr="009425D7">
        <w:t>D.</w:t>
      </w:r>
      <w:r w:rsidRPr="009425D7">
        <w:tab/>
        <w:t>mivel a kérelem 69 olyan munkavállalóra vonatkozik, akiknek tevékenysége a négy hónapos referencia-időszak előtt vagy után szűnt meg, és akik esetében egyértelmű ok-okozati összefüggés mutatható ki azzal az eseménnyel, amely a referencia-időszak alatt az elbocsátott munkavállalók tevékenységének megszűnéséhez vezetett, ahogyan azt az EGAA-rendelet 6. cikkének második bekezdése megköveteli;</w:t>
      </w:r>
      <w:r w:rsidRPr="009425D7">
        <w:rPr>
          <w:sz w:val="23"/>
        </w:rPr>
        <w:t xml:space="preserve"> </w:t>
      </w:r>
    </w:p>
    <w:p w:rsidR="00B45416" w:rsidRPr="009425D7" w:rsidRDefault="00B45416" w:rsidP="0079434C">
      <w:pPr>
        <w:pStyle w:val="NormalHanging12a"/>
        <w:widowControl/>
      </w:pPr>
      <w:r w:rsidRPr="009425D7">
        <w:t>E.</w:t>
      </w:r>
      <w:r w:rsidRPr="009425D7">
        <w:tab/>
        <w:t xml:space="preserve">mivel a kérelem az EGAA-rendelet 4. cikke (2) bekezdésének a) pontjában meghatározott beavatkozási kritériumokon alapul, amelyek szerint a támogatás feltétele legalább 200 munkavállaló elbocsátása és/vagy önálló vállalkozó tevékenységének megszűnése egy négy hónapos referencia-időszak alatt egy vállalkozáson belül egy tagállamban, ideértve a tevékenységeknek a vállalkozás beszállítóinál vagy a továbbfeldolgozó vállalatoknál történt megszűnését is; </w:t>
      </w:r>
    </w:p>
    <w:p w:rsidR="00B45416" w:rsidRPr="009425D7" w:rsidRDefault="00B45416" w:rsidP="0079434C">
      <w:pPr>
        <w:pStyle w:val="NormalHanging12a"/>
        <w:widowControl/>
      </w:pPr>
      <w:r w:rsidRPr="009425D7">
        <w:t>F.</w:t>
      </w:r>
      <w:r w:rsidRPr="009425D7">
        <w:tab/>
        <w:t xml:space="preserve">mivel a belga élelmiszer-kiskereskedelmi ágazatban 2023-ban jelentősen csökkent az értékesítés volumene az energia- és inflációs válság, valamint a határokon átnyúló vásárlások és az e-kereskedelem növekedése miatt; </w:t>
      </w:r>
    </w:p>
    <w:p w:rsidR="00B45416" w:rsidRPr="009425D7" w:rsidRDefault="00B45416" w:rsidP="0079434C">
      <w:pPr>
        <w:pStyle w:val="NormalHanging12a"/>
        <w:widowControl/>
      </w:pPr>
      <w:r w:rsidRPr="009425D7">
        <w:t>G.</w:t>
      </w:r>
      <w:r w:rsidRPr="009425D7">
        <w:tab/>
        <w:t>mivel a Match-Smatch vállalat évek óta nehéz gazdasági helyzetben volt és 2022-ben 36,5 millió EUR bruttó működési veszteségről számolt be, és a veszteségek további felhalmozódásának megelőzése érdekében a Match-Smatch 2023 szeptemberében elfogadta a Colruyt csoport arra vonatkozó ajánlatát, hogy a 84 üzletből 57-et megvásároljon, és átvegye az üzletek személyzetét is (1069 fő); mivel nyolc további üzlet a Carrefour, a Delhaize, az Intermarché és a Delfood lánchoz került;</w:t>
      </w:r>
    </w:p>
    <w:p w:rsidR="00B45416" w:rsidRPr="009425D7" w:rsidRDefault="00B45416" w:rsidP="0079434C">
      <w:pPr>
        <w:pStyle w:val="NormalHanging12a"/>
        <w:widowControl/>
      </w:pPr>
      <w:r w:rsidRPr="009425D7">
        <w:t>H.</w:t>
      </w:r>
      <w:r w:rsidRPr="009425D7">
        <w:tab/>
        <w:t xml:space="preserve">mivel ennek eredményeként összesen 513 munkavállalót bocsátottak el csoportos létszámcsökkentési eljárás keretében: azon 19 üzlet 339 alkalmazottját, amelyekre nem találtak vevőt, valamint a Match-Smatch központ 174 alkalmazottját; </w:t>
      </w:r>
    </w:p>
    <w:p w:rsidR="00B45416" w:rsidRPr="009425D7" w:rsidRDefault="00B45416" w:rsidP="0079434C">
      <w:pPr>
        <w:pStyle w:val="NormalHanging12a"/>
        <w:widowControl/>
      </w:pPr>
      <w:r w:rsidRPr="009425D7">
        <w:lastRenderedPageBreak/>
        <w:t>I.</w:t>
      </w:r>
      <w:r w:rsidRPr="009425D7">
        <w:tab/>
        <w:t>mivel a nemzeti és uniós jogszabályokban a csoportos létszámleépítésekre vonatkozóan előírt követelményeket tiszteletben tartották;</w:t>
      </w:r>
    </w:p>
    <w:p w:rsidR="00B45416" w:rsidRPr="009425D7" w:rsidRDefault="00B45416" w:rsidP="0079434C">
      <w:pPr>
        <w:pStyle w:val="NormalHanging12a"/>
        <w:widowControl/>
      </w:pPr>
      <w:r w:rsidRPr="009425D7">
        <w:t>J.</w:t>
      </w:r>
      <w:r w:rsidRPr="009425D7">
        <w:tab/>
        <w:t>mivel a Covid19-világjárvány okozta gazdasági válság hatására a belga munkaerőpiacon nőtt a kereslet a magasabban képzett munkavállalók iránt, ami megnehezítette a Match-Smatch korábbi munkavállalói számára a foglalkoztatásba való visszatérést;</w:t>
      </w:r>
    </w:p>
    <w:p w:rsidR="00B45416" w:rsidRPr="009425D7" w:rsidRDefault="00B45416" w:rsidP="0079434C">
      <w:pPr>
        <w:pStyle w:val="NormalHanging12a"/>
        <w:widowControl/>
      </w:pPr>
      <w:r w:rsidRPr="009425D7">
        <w:t>K.</w:t>
      </w:r>
      <w:r w:rsidRPr="009425D7">
        <w:tab/>
        <w:t>mivel az EGAA-ból nyújtott pénzügyi hozzájárulásoknak elsősorban olyan aktív munkaerőpiaci szakpolitikai intézkedésekre és személyre szabott szolgáltatásokra kell irányulniuk, amelyek célja a kedvezményezettek tisztességes és fenntartható foglalkoztatásba való gyors visszailleszkedése az eredeti tevékenységi ágazatukon belül vagy azon kívül, miközben felkészítik őket a zöldebb és digitálisabb európai gazdaságra;</w:t>
      </w:r>
    </w:p>
    <w:p w:rsidR="00B45416" w:rsidRPr="009425D7" w:rsidRDefault="00B45416" w:rsidP="0079434C">
      <w:pPr>
        <w:pStyle w:val="NormalHanging12a"/>
        <w:widowControl/>
      </w:pPr>
      <w:r w:rsidRPr="009425D7">
        <w:t>L.</w:t>
      </w:r>
      <w:r w:rsidRPr="009425D7">
        <w:tab/>
        <w:t>mivel a felülvizsgált többéves pénzügyi keret az (EU, Euratom) 2024/765 rendelettel módosított (EU, Euratom) 2020/2093 rendelet 8. cikkében meghatározottaknak megfelelően az EGAA éves maximális összegét (2018-as árakon számítva) 186 millió EUR-ról 30 millió EUR-ra csökkenti; mivel a Bizottságnak szorosan kell nyomon követnie az EGAA végrehajtását, és valamennyi intézménynek meg kell tennie minden szükséges intézkedést annak biztosítására, hogy az elbocsátott munkavállalók a megszorítások ellenére az EGAA támogatásán keresztül számíthassanak az uniós szolidaritásra;</w:t>
      </w:r>
    </w:p>
    <w:p w:rsidR="00B45416" w:rsidRPr="009425D7" w:rsidRDefault="00B45416" w:rsidP="0079434C">
      <w:pPr>
        <w:pStyle w:val="NormalHanging12a"/>
        <w:widowControl/>
      </w:pPr>
      <w:r w:rsidRPr="009425D7">
        <w:t>1.</w:t>
      </w:r>
      <w:r w:rsidRPr="009425D7">
        <w:tab/>
        <w:t>egyetért a Bizottsággal abban, hogy az EGAA-rendelet 4. cikke (2) bekezdésének a) pontjában meghatározott feltételek teljesülnek, és hogy Belgium az említett rendelet értelmében 2 661 564 EUR összegű pénzügyi hozzájárulásra jogosult, amely a 3 131 252 EUR összegű teljes költség 85%-ának felel meg, és amely a személyre szabott szolgáltatásokra fordított 3 009 752 EUR, továbbá az előkészítő, irányítási, tájékoztatási és nyilvánossággal kapcsolatos, valamint az ellenőrzési és jelentéstételi tevékenységekre fordított 121 500 EUR összegű kiadásokat foglalja magában;</w:t>
      </w:r>
    </w:p>
    <w:p w:rsidR="00B45416" w:rsidRPr="009425D7" w:rsidRDefault="00B45416" w:rsidP="0079434C">
      <w:pPr>
        <w:pStyle w:val="NormalHanging12a"/>
        <w:widowControl/>
      </w:pPr>
      <w:r w:rsidRPr="009425D7">
        <w:t>2.</w:t>
      </w:r>
      <w:r w:rsidRPr="009425D7">
        <w:tab/>
        <w:t xml:space="preserve">megállapítja, hogy a belga hatóságok 2024. június 3-án nyújtották be a kérelmet, és hogy annak értékelését a Bizottság – a kiegészítő információk Belgium általi benyújtását követően – 2024. szeptember 16-án fejezte be, és erről ugyanazon a napon értesítette a Parlamentet; </w:t>
      </w:r>
    </w:p>
    <w:p w:rsidR="00B45416" w:rsidRPr="009425D7" w:rsidRDefault="00B45416" w:rsidP="0079434C">
      <w:pPr>
        <w:pStyle w:val="NormalHanging12a"/>
        <w:widowControl/>
      </w:pPr>
      <w:r w:rsidRPr="009425D7">
        <w:t>3.</w:t>
      </w:r>
      <w:r w:rsidRPr="009425D7">
        <w:tab/>
        <w:t xml:space="preserve">megállapítja, hogy a kérelem 513 olyan elbocsátott munkavállalóra vonatkozik, akiknek tevékenysége a Match-Smatch vállalatnál szűnt meg; megállapítja továbbá, hogy a megcélzott kedvezményezettek köre összesen 365 elbocsátott munkavállalót foglal magában, akik várhatóan részt vesznek az intézkedésekben; </w:t>
      </w:r>
    </w:p>
    <w:p w:rsidR="00B45416" w:rsidRPr="009425D7" w:rsidRDefault="00B45416" w:rsidP="0079434C">
      <w:pPr>
        <w:pStyle w:val="Default"/>
        <w:spacing w:after="240"/>
        <w:ind w:left="567" w:hanging="567"/>
        <w:rPr>
          <w:noProof/>
          <w:color w:val="auto"/>
        </w:rPr>
      </w:pPr>
      <w:r w:rsidRPr="009425D7">
        <w:rPr>
          <w:color w:val="auto"/>
        </w:rPr>
        <w:t xml:space="preserve">4. </w:t>
      </w:r>
      <w:r w:rsidRPr="009425D7">
        <w:rPr>
          <w:color w:val="auto"/>
        </w:rPr>
        <w:tab/>
        <w:t xml:space="preserve">megállapítja, hogy Belgium kizárólag a Match-Smatch Vallóniában élő korábbi munkavállalóinak támogatására kért EGAA-társfinanszírozást, tekintettel a regionális munkaerőpiaci helyzetre </w:t>
      </w:r>
      <w:r w:rsidRPr="009425D7">
        <w:rPr>
          <w:rStyle w:val="rynqvb"/>
          <w:color w:val="auto"/>
        </w:rPr>
        <w:t>(2023-ban 8,2%-os munkanélküliségi ráta)</w:t>
      </w:r>
      <w:r w:rsidRPr="009425D7">
        <w:rPr>
          <w:color w:val="auto"/>
        </w:rPr>
        <w:t xml:space="preserve">, és </w:t>
      </w:r>
      <w:r w:rsidRPr="009425D7">
        <w:rPr>
          <w:rStyle w:val="rynqvb"/>
          <w:color w:val="auto"/>
        </w:rPr>
        <w:t>mivel az elbocsátások több mint 70%-a Vallóniában koncentrálódik</w:t>
      </w:r>
      <w:r w:rsidRPr="009425D7">
        <w:rPr>
          <w:color w:val="auto"/>
        </w:rPr>
        <w:t>;</w:t>
      </w:r>
    </w:p>
    <w:p w:rsidR="00B45416" w:rsidRPr="009425D7" w:rsidRDefault="00B45416" w:rsidP="0079434C">
      <w:pPr>
        <w:pStyle w:val="Default"/>
        <w:spacing w:after="240"/>
        <w:ind w:left="567" w:hanging="567"/>
        <w:rPr>
          <w:noProof/>
          <w:color w:val="auto"/>
        </w:rPr>
      </w:pPr>
      <w:r w:rsidRPr="009425D7">
        <w:rPr>
          <w:color w:val="auto"/>
        </w:rPr>
        <w:t xml:space="preserve">5. </w:t>
      </w:r>
      <w:r w:rsidRPr="009425D7">
        <w:rPr>
          <w:color w:val="auto"/>
        </w:rPr>
        <w:tab/>
        <w:t xml:space="preserve">megállapítja, hogy a Match-Smatch által elbocsátott munkavállalók fele (46%) ötvenéves vagy annál idősebb, azaz egy olyan korcsoportba tartozik, amely több foglalkoztatási akadállyal szembesül, és hogy 2023 utolsó negyedévében nemzeti szinten 18,3 százalékpontos különbség volt a 20–54 év közötti korcsoport foglalkoztatási rátája (76,8%) és az 55 év feletti korcsoport foglalkoztatási rátája </w:t>
      </w:r>
      <w:r w:rsidRPr="009425D7">
        <w:rPr>
          <w:color w:val="auto"/>
        </w:rPr>
        <w:lastRenderedPageBreak/>
        <w:t>(58,5%) között</w:t>
      </w:r>
      <w:r w:rsidRPr="009425D7">
        <w:rPr>
          <w:rStyle w:val="FootnoteReference"/>
          <w:noProof/>
          <w:color w:val="auto"/>
        </w:rPr>
        <w:footnoteReference w:id="6"/>
      </w:r>
      <w:r w:rsidRPr="009425D7">
        <w:rPr>
          <w:color w:val="auto"/>
        </w:rPr>
        <w:t>; hangsúlyozza, hogy a munkavállalók munkaerőpiaci igényeknek megfelelő szakképzettséget igénylő munkahelyekre való továbbképzése és átképzése így kihívást fog jelenteni, különös tekintettel az egyidejűleg elbocsátottak nagy számára;</w:t>
      </w:r>
    </w:p>
    <w:p w:rsidR="00B45416" w:rsidRPr="009425D7" w:rsidRDefault="00B45416" w:rsidP="0079434C">
      <w:pPr>
        <w:pStyle w:val="Default"/>
        <w:spacing w:after="240"/>
        <w:ind w:left="567" w:hanging="567"/>
        <w:rPr>
          <w:color w:val="auto"/>
        </w:rPr>
      </w:pPr>
      <w:r w:rsidRPr="009425D7">
        <w:rPr>
          <w:color w:val="auto"/>
        </w:rPr>
        <w:t>6.</w:t>
      </w:r>
      <w:r w:rsidRPr="009425D7">
        <w:rPr>
          <w:color w:val="auto"/>
        </w:rPr>
        <w:tab/>
        <w:t xml:space="preserve">üdvözli, hogy a személyre szabott szolgáltatások koordinált csomagját Belgium a célzott kedvezményezettekkel, azok képviselőivel és a szociális partnerekkel konzultálva dolgozta ki annak érdekében, hogy az érintett területeket és a teljes munkaerőpiacot fenntarthatóbbá és reziliensebbé tegye a jövőben; </w:t>
      </w:r>
    </w:p>
    <w:p w:rsidR="00B45416" w:rsidRPr="009425D7" w:rsidRDefault="00B45416" w:rsidP="0079434C">
      <w:pPr>
        <w:pStyle w:val="NormalHanging12a"/>
        <w:widowControl/>
        <w:rPr>
          <w:b/>
          <w:i/>
        </w:rPr>
      </w:pPr>
      <w:r w:rsidRPr="009425D7">
        <w:t>7.</w:t>
      </w:r>
      <w:r w:rsidRPr="009425D7">
        <w:tab/>
        <w:t>emlékeztet, hogy a munkavállalóknak és az önálló vállalkozóknak nyújtandó, személyre szabott szolgáltatások az alábbi intézkedéseket foglalják magukban: tájékoztatási szolgáltatások, pályaorientációs tanácsadás és az újbóli elhelyezkedéshez nyújtott segítség, képzés, átképzés és szakképzés, valamint vállalkozásalapításhoz nyújtott támogatás és ahhoz való hozzájárulás, továbbá ösztönzők és juttatások;</w:t>
      </w:r>
      <w:r w:rsidRPr="009425D7">
        <w:rPr>
          <w:b/>
          <w:i/>
        </w:rPr>
        <w:t xml:space="preserve"> </w:t>
      </w:r>
    </w:p>
    <w:p w:rsidR="00B45416" w:rsidRPr="009425D7" w:rsidRDefault="00B45416" w:rsidP="0079434C">
      <w:pPr>
        <w:pStyle w:val="NormalHanging12a"/>
        <w:widowControl/>
        <w:rPr>
          <w:b/>
          <w:i/>
        </w:rPr>
      </w:pPr>
      <w:r w:rsidRPr="009425D7">
        <w:t>8.</w:t>
      </w:r>
      <w:r w:rsidRPr="009425D7">
        <w:tab/>
        <w:t>emlékeztet arra, hogy a belga hatóságoknak biztosítaniuk kell, hogy a férfiak és nők közötti egyenlőség és a nemi dimenzió integrálása a végrehajtási szakaszban előmozdításra kerül és annak szerves részét képezi;</w:t>
      </w:r>
      <w:r w:rsidRPr="009425D7">
        <w:rPr>
          <w:b/>
          <w:i/>
        </w:rPr>
        <w:t xml:space="preserve"> </w:t>
      </w:r>
    </w:p>
    <w:p w:rsidR="00B45416" w:rsidRPr="009425D7" w:rsidRDefault="00B45416" w:rsidP="0079434C">
      <w:pPr>
        <w:pStyle w:val="NormalHanging12a"/>
        <w:widowControl/>
      </w:pPr>
      <w:r w:rsidRPr="009425D7">
        <w:t>9.</w:t>
      </w:r>
      <w:r w:rsidRPr="009425D7">
        <w:tab/>
        <w:t xml:space="preserve">emlékeztet arra, hogy a belga hatóságoknak el kell ismerniük az uniós finanszírozás eredetét, biztosítaniuk kell annak láthatóságát, és ki kell emelniük a beavatkozás uniós hozzáadott értékét azáltal, hogy következetes, hatékony és célzott tájékoztatást nyújtanak többféle közönségnek, beleértve a kedvezményezetteknek, a helyi és regionális hatóságoknak, a szociális partnereknek, a médiának és a nyilvánosságnak nyújtott célzott információkat is; </w:t>
      </w:r>
    </w:p>
    <w:p w:rsidR="00B45416" w:rsidRPr="009425D7" w:rsidRDefault="00B45416" w:rsidP="0079434C">
      <w:pPr>
        <w:pStyle w:val="NormalHanging12a"/>
        <w:widowControl/>
        <w:rPr>
          <w:noProof/>
        </w:rPr>
      </w:pPr>
      <w:r w:rsidRPr="009425D7">
        <w:t>10.</w:t>
      </w:r>
      <w:r w:rsidRPr="009425D7">
        <w:tab/>
        <w:t>üdvözli, hogy azzal a céllal, hogy testre szabott intézkedéscsomagot dolgozzanak ki a Match-Smatch munkavállalók munkába való visszatérésre irányuló erőfeszítéseinek támogatására, Vallónia Regionális Közfoglalkoztatási és Szakképzési Szolgálata (Le Forem), a szakszervezetek (FGTB és CSC) és más partnerek 2024-ben több alkalommal találkoztak a munkavállalók átképzési igényeinek jobb megértése érdekében, üdvözli továbbá, hogy a munkavállalókat az elbocsátásukat követően kísérő szociális tanácsadókkal is konzultáltak, és hogy ezek a találkozók az EGAA-rendelet 7. cikkének (4) bekezdésével összhangban lévő, koordinált EGAA-intézkedéscsomagot eredményeztek;</w:t>
      </w:r>
    </w:p>
    <w:p w:rsidR="00B45416" w:rsidRPr="009425D7" w:rsidRDefault="00B45416" w:rsidP="0079434C">
      <w:pPr>
        <w:pStyle w:val="NormalHanging12a"/>
        <w:widowControl/>
      </w:pPr>
      <w:r w:rsidRPr="009425D7">
        <w:t xml:space="preserve">11. </w:t>
      </w:r>
      <w:r w:rsidRPr="009425D7">
        <w:tab/>
        <w:t>üdvözli, hogy a Regionális Közfoglalkoztatási és Szakképzési Szolgálat (Forem) standard képzési kínálatának részeként azt az Európai Szociális Alap Plusz (ESZA+) által társfinanszírozott, a körforgásos gazdaságra és a források hatékony felhasználására vonatkozó modult is kínálják, amelyet a Swissport korábbi dolgozói számára fejlesztettek ki (EGF/2020/005 BE/Swissport); ezzel összefüggésben megismétli, hogy az Uniónak fontos szerepet kell játszania a kettős átálláshoz szükséges képesítések biztosításában; határozottan támogatja, hogy a 2021–2027 közötti időszakra vonatkozó többéves pénzügyi keret időszakában az EGAA továbbra is mutasson szolidaritást az érintett személyekkel, és továbbra is összpontosítson a szerkezetátalakítás munkavállalókra gyakorolt hatására; felszólít arra, hogy a jövőbeli kérelmek esetén maximalizálják a szakpolitikai koherenciát;</w:t>
      </w:r>
    </w:p>
    <w:p w:rsidR="00B45416" w:rsidRPr="009425D7" w:rsidRDefault="00B45416" w:rsidP="0079434C">
      <w:pPr>
        <w:pStyle w:val="NormalHanging12a"/>
        <w:widowControl/>
      </w:pPr>
      <w:r w:rsidRPr="009425D7">
        <w:lastRenderedPageBreak/>
        <w:t xml:space="preserve">12. </w:t>
      </w:r>
      <w:r w:rsidRPr="009425D7">
        <w:tab/>
        <w:t>úgy véli, hogy az Unió társadalmi felelőssége, hogy az elbocsátott munkavállalók számára biztosítsa az uniós ipar és gazdaság digitális és zöld átállásához szükséges képesítéseket, ami a munkaerőpiacra is hatással lesz; ezért kéri, hogy fordítsanak különös figyelmet a releváns szakmai tanulmányokra, beleértve a szakképzést is;</w:t>
      </w:r>
    </w:p>
    <w:p w:rsidR="00B45416" w:rsidRPr="009425D7" w:rsidRDefault="00B45416" w:rsidP="0079434C">
      <w:pPr>
        <w:pStyle w:val="NormalHanging12a"/>
        <w:widowControl/>
      </w:pPr>
      <w:r w:rsidRPr="009425D7">
        <w:t>13.</w:t>
      </w:r>
      <w:r w:rsidRPr="009425D7">
        <w:tab/>
        <w:t>megjegyzi, hogy Belgium 2024. január 1-jén kezdte meg a személyre szabott szolgáltatások nyújtását a megcélzott kedvezményezettek részére, és hogy ezért az intézkedésekre fordított kiadások 2024. január 1-jétől a finanszírozási határozat hatálybalépését követő 24 hónapon át lesznek támogathatók az EGAA-ból származó pénzügyi hozzájárulásból;</w:t>
      </w:r>
    </w:p>
    <w:p w:rsidR="00B45416" w:rsidRPr="009425D7" w:rsidRDefault="00B45416" w:rsidP="0079434C">
      <w:pPr>
        <w:pStyle w:val="NormalHanging12a"/>
        <w:widowControl/>
        <w:rPr>
          <w:sz w:val="23"/>
          <w:szCs w:val="23"/>
        </w:rPr>
      </w:pPr>
      <w:r w:rsidRPr="009425D7">
        <w:t>14.</w:t>
      </w:r>
      <w:r w:rsidRPr="009425D7">
        <w:tab/>
        <w:t>megjegyzi, hogy Belgium részéről az EGAA végrehajtásával összefüggésben 2023. szeptember 22-étől kezdődően merültek fel igazgatási kiadások, és hogy az előkészítő, irányítási, tájékoztatási és nyilvánossággal kapcsolatos, valamint az ellenőrzési és jelentéstételi tevékenységekre fordított kiadások ezért 2023. szeptember 22-től a finanszírozási határozat hatálybalépését követő 31 hónapon át lesznek támogathatók az EGAA-ból származó pénzügyi hozzájárulásból;</w:t>
      </w:r>
    </w:p>
    <w:p w:rsidR="00B45416" w:rsidRPr="009425D7" w:rsidRDefault="00B45416" w:rsidP="0079434C">
      <w:pPr>
        <w:pStyle w:val="NormalHanging12a"/>
        <w:widowControl/>
      </w:pPr>
      <w:r w:rsidRPr="009425D7">
        <w:t>15.</w:t>
      </w:r>
      <w:r w:rsidRPr="009425D7">
        <w:tab/>
        <w:t>hangsúlyozza, hogy a belga hatóságok megerősítették, hogy a támogatható tevékenységek más uniós alapokból vagy pénzügyi eszközökből nem részesülnek támogatásban, és hogy a javasolt tevékenységekhez való hozzáférés és azok végrehajtása során tiszteletben fogják tartani az egyenlő bánásmód és a megkülönböztetésmentesség elvét;</w:t>
      </w:r>
    </w:p>
    <w:p w:rsidR="00B45416" w:rsidRPr="009425D7" w:rsidRDefault="00B45416" w:rsidP="0079434C">
      <w:pPr>
        <w:pStyle w:val="NormalHanging12a"/>
        <w:widowControl/>
      </w:pPr>
      <w:r w:rsidRPr="009425D7">
        <w:t>16.</w:t>
      </w:r>
      <w:r w:rsidRPr="009425D7">
        <w:tab/>
        <w:t xml:space="preserve">ismételten hangsúlyozza, hogy a juttatás teljes mértékben kiegészítő jellegének biztosítása érdekében az EGAA-ból nyújtott támogatás nem helyettesítheti azon intézkedéseket, amelyek a nemzeti jog vagy a kollektív szerződések értelmében a vállalkozások felelősségi körébe tartoznak, és nem léphet az elbocsátott munkavállalók juttatásainak vagy jogainak helyébe sem; emlékeztet, hogy az EGAA-ból nyújtott finanszírozási támogatást kérelmező tagállamoknak biztosítaniuk kell, hogy a csoportos létszámcsökkentésre vonatkozó nemzeti és uniós jogszabályokban meghatározott követelményeknek eleget tettek, és hogy az érintett vállalkozás ennek megfelelően gondoskodott munkavállalóiról; </w:t>
      </w:r>
    </w:p>
    <w:p w:rsidR="00B45416" w:rsidRPr="009425D7" w:rsidRDefault="00B45416" w:rsidP="0079434C">
      <w:pPr>
        <w:pStyle w:val="NormalHanging12a"/>
        <w:widowControl/>
        <w:rPr>
          <w:noProof/>
        </w:rPr>
      </w:pPr>
      <w:r w:rsidRPr="009425D7">
        <w:t>17.</w:t>
      </w:r>
      <w:r w:rsidRPr="009425D7">
        <w:tab/>
        <w:t>jóváhagyja a jelen állásfoglaláshoz mellékelt határozatot;</w:t>
      </w:r>
    </w:p>
    <w:p w:rsidR="00B45416" w:rsidRPr="009425D7" w:rsidRDefault="00B45416" w:rsidP="0079434C">
      <w:pPr>
        <w:pStyle w:val="NormalHanging12a"/>
        <w:widowControl/>
        <w:rPr>
          <w:noProof/>
        </w:rPr>
      </w:pPr>
      <w:r w:rsidRPr="009425D7">
        <w:t>18.</w:t>
      </w:r>
      <w:r w:rsidRPr="009425D7">
        <w:tab/>
        <w:t>utasítja elnökét, hogy a Tanács elnökével együtt írja alá ezt a határozatot, valamint gondoskodjon közzétételéről az Európai Unió Hivatalos Lapjában;</w:t>
      </w:r>
    </w:p>
    <w:p w:rsidR="00B45416" w:rsidRPr="009425D7" w:rsidRDefault="00B45416" w:rsidP="0079434C">
      <w:pPr>
        <w:pStyle w:val="NormalHanging12a"/>
        <w:widowControl/>
      </w:pPr>
      <w:r w:rsidRPr="009425D7">
        <w:t>19.</w:t>
      </w:r>
      <w:r w:rsidRPr="009425D7">
        <w:tab/>
        <w:t>utasítja elnökét, hogy továbbítsa ezt az állásfoglalást és annak mellékletét a Tanácsnak és a Bizottságnak.</w:t>
      </w:r>
    </w:p>
    <w:p w:rsidR="00B45416" w:rsidRPr="009425D7" w:rsidRDefault="00B45416" w:rsidP="0079434C">
      <w:pPr>
        <w:widowControl/>
        <w:spacing w:after="240"/>
        <w:ind w:left="567" w:hanging="567"/>
        <w:rPr>
          <w:noProof/>
        </w:rPr>
      </w:pPr>
    </w:p>
    <w:p w:rsidR="00B45416" w:rsidRPr="009425D7" w:rsidRDefault="00B45416" w:rsidP="0079434C">
      <w:pPr>
        <w:pStyle w:val="PageHeading"/>
        <w:keepNext w:val="0"/>
        <w:widowControl/>
        <w:spacing w:after="240"/>
        <w:ind w:left="567" w:hanging="567"/>
        <w:rPr>
          <w:noProof/>
        </w:rPr>
        <w:sectPr w:rsidR="00B45416" w:rsidRPr="009425D7" w:rsidSect="009425D7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9434C" w:rsidRPr="00644EA1" w:rsidRDefault="00B45416" w:rsidP="00644EA1">
      <w:pPr>
        <w:pStyle w:val="PageHeading"/>
        <w:keepNext w:val="0"/>
        <w:widowControl/>
        <w:spacing w:after="240"/>
        <w:ind w:left="567" w:hanging="567"/>
        <w:rPr>
          <w:rFonts w:ascii="Times New Roman" w:hAnsi="Times New Roman" w:cs="Times New Roman"/>
        </w:rPr>
      </w:pPr>
      <w:bookmarkStart w:id="9" w:name="_Toc180132686"/>
      <w:r w:rsidRPr="00644EA1">
        <w:rPr>
          <w:rFonts w:ascii="Times New Roman" w:hAnsi="Times New Roman" w:cs="Times New Roman"/>
        </w:rPr>
        <w:lastRenderedPageBreak/>
        <w:t>MELLÉKLET</w:t>
      </w:r>
    </w:p>
    <w:p w:rsidR="00B45416" w:rsidRPr="00644EA1" w:rsidRDefault="00B45416" w:rsidP="00644EA1">
      <w:pPr>
        <w:pStyle w:val="PageHeading"/>
        <w:keepNext w:val="0"/>
        <w:widowControl/>
        <w:spacing w:after="240"/>
        <w:ind w:left="567" w:hanging="567"/>
        <w:rPr>
          <w:rFonts w:ascii="Times New Roman" w:hAnsi="Times New Roman" w:cs="Times New Roman"/>
          <w:noProof/>
        </w:rPr>
      </w:pPr>
      <w:r w:rsidRPr="00644EA1">
        <w:rPr>
          <w:rFonts w:ascii="Times New Roman" w:hAnsi="Times New Roman" w:cs="Times New Roman"/>
        </w:rPr>
        <w:t>AZ EURÓPAI PARLAMENT ÉS A TANÁCS HATÁROZATA</w:t>
      </w:r>
      <w:bookmarkEnd w:id="9"/>
    </w:p>
    <w:p w:rsidR="00644EA1" w:rsidRDefault="00644EA1" w:rsidP="00E21546">
      <w:pPr>
        <w:pStyle w:val="NormalBold24a"/>
        <w:widowControl/>
        <w:spacing w:after="240"/>
        <w:jc w:val="center"/>
      </w:pPr>
      <w:r w:rsidRPr="00644EA1">
        <w:t>az elbocsátott munkavállalók támogatását szolgáló Európai Globalizációs Alkalmazkodási Alapnak Belgium EGF/2024/001 BE/Match-Smatch referenciaszámú kérelme nyomán történő igénybevételéről</w:t>
      </w:r>
    </w:p>
    <w:p w:rsidR="00644EA1" w:rsidRDefault="00644EA1" w:rsidP="00644EA1">
      <w:pPr>
        <w:rPr>
          <w:rStyle w:val="Emphasis"/>
        </w:rPr>
      </w:pPr>
    </w:p>
    <w:p w:rsidR="00644EA1" w:rsidRPr="00E164F3" w:rsidRDefault="00644EA1" w:rsidP="00644EA1">
      <w:r w:rsidRPr="009522CD">
        <w:rPr>
          <w:rStyle w:val="Emphasis"/>
        </w:rPr>
        <w:t>(</w:t>
      </w:r>
      <w:r w:rsidRPr="00644EA1">
        <w:rPr>
          <w:rStyle w:val="Emphasis"/>
        </w:rPr>
        <w:t>E melléklet szövege itt nincs feltüntetve, mert az megegyezik a végleges jogi aktussal, az (EU) 2024/</w:t>
      </w:r>
      <w:r>
        <w:rPr>
          <w:rStyle w:val="Emphasis"/>
        </w:rPr>
        <w:t>2854</w:t>
      </w:r>
      <w:r w:rsidRPr="00644EA1">
        <w:rPr>
          <w:rStyle w:val="Emphasis"/>
        </w:rPr>
        <w:t xml:space="preserve"> határozattal</w:t>
      </w:r>
      <w:r w:rsidRPr="009522CD">
        <w:rPr>
          <w:rStyle w:val="Emphasis"/>
        </w:rPr>
        <w:t>.)</w:t>
      </w:r>
    </w:p>
    <w:p w:rsidR="00E365E1" w:rsidRPr="009425D7" w:rsidRDefault="00E365E1" w:rsidP="0079434C">
      <w:pPr>
        <w:widowControl/>
        <w:spacing w:after="240"/>
        <w:ind w:left="567" w:hanging="567"/>
      </w:pPr>
    </w:p>
    <w:sectPr w:rsidR="00E365E1" w:rsidRPr="009425D7" w:rsidSect="009425D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8E9" w:rsidRPr="009425D7" w:rsidRDefault="002C28E9">
      <w:r w:rsidRPr="009425D7">
        <w:separator/>
      </w:r>
    </w:p>
  </w:endnote>
  <w:endnote w:type="continuationSeparator" w:id="0">
    <w:p w:rsidR="002C28E9" w:rsidRPr="009425D7" w:rsidRDefault="002C28E9">
      <w:r w:rsidRPr="009425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416" w:rsidRPr="009425D7" w:rsidRDefault="00B45416" w:rsidP="00D548BD">
    <w:pPr>
      <w:pStyle w:val="EPFooter"/>
    </w:pPr>
    <w:r w:rsidRPr="009425D7">
      <w:t>PE</w:t>
    </w:r>
    <w:r w:rsidRPr="009425D7">
      <w:rPr>
        <w:rStyle w:val="HideTWBExt"/>
      </w:rPr>
      <w:t>&lt;NoPE&gt;</w:t>
    </w:r>
    <w:r w:rsidRPr="009425D7">
      <w:t>763.160</w:t>
    </w:r>
    <w:r w:rsidRPr="009425D7">
      <w:rPr>
        <w:rStyle w:val="HideTWBExt"/>
      </w:rPr>
      <w:t>&lt;/NoPE&gt;&lt;Version&gt;</w:t>
    </w:r>
    <w:r w:rsidRPr="009425D7">
      <w:t>v02-00</w:t>
    </w:r>
    <w:r w:rsidRPr="009425D7">
      <w:rPr>
        <w:rStyle w:val="HideTWBExt"/>
      </w:rPr>
      <w:t>&lt;/Version&gt;</w:t>
    </w:r>
    <w:r w:rsidRPr="009425D7">
      <w:tab/>
    </w:r>
    <w:r w:rsidRPr="009425D7">
      <w:fldChar w:fldCharType="begin"/>
    </w:r>
    <w:r w:rsidRPr="009425D7">
      <w:instrText xml:space="preserve"> PAGE  \* MERGEFORMAT </w:instrText>
    </w:r>
    <w:r w:rsidRPr="009425D7">
      <w:fldChar w:fldCharType="separate"/>
    </w:r>
    <w:r w:rsidR="009425D7" w:rsidRPr="009425D7">
      <w:rPr>
        <w:noProof/>
      </w:rPr>
      <w:t>2</w:t>
    </w:r>
    <w:r w:rsidRPr="009425D7">
      <w:fldChar w:fldCharType="end"/>
    </w:r>
    <w:r w:rsidRPr="009425D7">
      <w:t>/</w:t>
    </w:r>
    <w:r w:rsidR="00644EA1">
      <w:fldChar w:fldCharType="begin"/>
    </w:r>
    <w:r w:rsidR="00644EA1">
      <w:instrText xml:space="preserve"> NUMPAGES  \* MERGEFORMAT </w:instrText>
    </w:r>
    <w:r w:rsidR="00644EA1">
      <w:fldChar w:fldCharType="separate"/>
    </w:r>
    <w:r w:rsidR="009425D7" w:rsidRPr="009425D7">
      <w:rPr>
        <w:noProof/>
      </w:rPr>
      <w:t>8</w:t>
    </w:r>
    <w:r w:rsidR="00644EA1">
      <w:rPr>
        <w:noProof/>
      </w:rPr>
      <w:fldChar w:fldCharType="end"/>
    </w:r>
    <w:r w:rsidRPr="009425D7">
      <w:tab/>
    </w:r>
    <w:r w:rsidRPr="009425D7">
      <w:rPr>
        <w:rStyle w:val="HideTWBExt"/>
      </w:rPr>
      <w:t>&lt;PathFdR&gt;</w:t>
    </w:r>
    <w:r w:rsidRPr="009425D7">
      <w:t>RR\1308530HU.docx</w:t>
    </w:r>
    <w:r w:rsidRPr="009425D7">
      <w:rPr>
        <w:rStyle w:val="HideTWBExt"/>
      </w:rPr>
      <w:t>&lt;/PathFdR&gt;</w:t>
    </w:r>
  </w:p>
  <w:p w:rsidR="00B45416" w:rsidRPr="009425D7" w:rsidRDefault="00B45416" w:rsidP="00D548BD">
    <w:pPr>
      <w:pStyle w:val="EPFooter2"/>
    </w:pPr>
    <w:r w:rsidRPr="009425D7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416" w:rsidRPr="00FF79E2" w:rsidRDefault="00B45416" w:rsidP="00E215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416" w:rsidRPr="009425D7" w:rsidRDefault="00B45416" w:rsidP="00D548BD">
    <w:pPr>
      <w:pStyle w:val="EPFooter"/>
    </w:pPr>
    <w:r w:rsidRPr="009425D7">
      <w:rPr>
        <w:rStyle w:val="HideTWBExt"/>
      </w:rPr>
      <w:t>&lt;PathFdR&gt;</w:t>
    </w:r>
    <w:r w:rsidRPr="009425D7">
      <w:t>RR\1308530HU.docx</w:t>
    </w:r>
    <w:r w:rsidRPr="009425D7">
      <w:rPr>
        <w:rStyle w:val="HideTWBExt"/>
      </w:rPr>
      <w:t>&lt;/PathFdR&gt;</w:t>
    </w:r>
    <w:r w:rsidRPr="009425D7">
      <w:tab/>
    </w:r>
    <w:r w:rsidRPr="009425D7">
      <w:tab/>
      <w:t>PE</w:t>
    </w:r>
    <w:r w:rsidRPr="009425D7">
      <w:rPr>
        <w:rStyle w:val="HideTWBExt"/>
      </w:rPr>
      <w:t>&lt;NoPE&gt;</w:t>
    </w:r>
    <w:r w:rsidRPr="009425D7">
      <w:t>763.160</w:t>
    </w:r>
    <w:r w:rsidRPr="009425D7">
      <w:rPr>
        <w:rStyle w:val="HideTWBExt"/>
      </w:rPr>
      <w:t>&lt;/NoPE&gt;&lt;Version&gt;</w:t>
    </w:r>
    <w:r w:rsidRPr="009425D7">
      <w:t>v02-00</w:t>
    </w:r>
    <w:r w:rsidRPr="009425D7">
      <w:rPr>
        <w:rStyle w:val="HideTWBExt"/>
      </w:rPr>
      <w:t>&lt;/Version&gt;</w:t>
    </w:r>
  </w:p>
  <w:p w:rsidR="00B45416" w:rsidRPr="009425D7" w:rsidRDefault="00B45416" w:rsidP="00D548BD">
    <w:pPr>
      <w:pStyle w:val="EPFooter2"/>
    </w:pPr>
    <w:r w:rsidRPr="009425D7">
      <w:t>HU</w:t>
    </w:r>
    <w:r w:rsidRPr="009425D7">
      <w:tab/>
    </w:r>
    <w:r w:rsidRPr="009425D7">
      <w:rPr>
        <w:b w:val="0"/>
        <w:i/>
        <w:color w:val="C0C0C0"/>
        <w:sz w:val="22"/>
      </w:rPr>
      <w:t>Egyesülve a sokféleségben</w:t>
    </w:r>
    <w:r w:rsidRPr="009425D7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D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D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8E9" w:rsidRPr="009425D7" w:rsidRDefault="002C28E9">
      <w:r w:rsidRPr="009425D7">
        <w:separator/>
      </w:r>
    </w:p>
  </w:footnote>
  <w:footnote w:type="continuationSeparator" w:id="0">
    <w:p w:rsidR="002C28E9" w:rsidRPr="009425D7" w:rsidRDefault="002C28E9">
      <w:r w:rsidRPr="009425D7">
        <w:continuationSeparator/>
      </w:r>
    </w:p>
  </w:footnote>
  <w:footnote w:id="1">
    <w:p w:rsidR="00B45416" w:rsidRPr="009425D7" w:rsidRDefault="00B45416" w:rsidP="009425D7">
      <w:pPr>
        <w:pStyle w:val="FootnoteText"/>
        <w:ind w:left="567" w:hanging="567"/>
        <w:rPr>
          <w:sz w:val="24"/>
          <w:lang w:val="hu-HU"/>
        </w:rPr>
      </w:pPr>
      <w:r w:rsidRPr="009425D7">
        <w:rPr>
          <w:rStyle w:val="FootnoteReference"/>
          <w:sz w:val="24"/>
          <w:lang w:val="hu-HU"/>
        </w:rPr>
        <w:footnoteRef/>
      </w:r>
      <w:r w:rsidR="009425D7" w:rsidRPr="009425D7">
        <w:rPr>
          <w:sz w:val="24"/>
          <w:lang w:val="hu-HU"/>
        </w:rPr>
        <w:t xml:space="preserve"> </w:t>
      </w:r>
      <w:r w:rsidR="009425D7" w:rsidRPr="009425D7">
        <w:rPr>
          <w:sz w:val="24"/>
          <w:lang w:val="hu-HU"/>
        </w:rPr>
        <w:tab/>
      </w:r>
      <w:r w:rsidRPr="009425D7">
        <w:rPr>
          <w:sz w:val="24"/>
          <w:lang w:val="hu-HU"/>
        </w:rPr>
        <w:t xml:space="preserve">HL L 153., 2021.5.3., 48. o., ELI: </w:t>
      </w:r>
      <w:hyperlink r:id="rId1" w:history="1">
        <w:r w:rsidRPr="009425D7">
          <w:rPr>
            <w:rStyle w:val="Hyperlink"/>
            <w:sz w:val="24"/>
            <w:lang w:val="hu-HU"/>
          </w:rPr>
          <w:t>http://data.europa.eu/eli/reg/2021/691/oj</w:t>
        </w:r>
      </w:hyperlink>
      <w:r w:rsidRPr="009425D7">
        <w:rPr>
          <w:sz w:val="24"/>
          <w:lang w:val="hu-HU"/>
        </w:rPr>
        <w:t>.</w:t>
      </w:r>
    </w:p>
  </w:footnote>
  <w:footnote w:id="2">
    <w:p w:rsidR="00B45416" w:rsidRPr="009F37EC" w:rsidRDefault="00B45416" w:rsidP="009425D7">
      <w:pPr>
        <w:pStyle w:val="FootnoteText"/>
        <w:ind w:left="567" w:hanging="567"/>
        <w:rPr>
          <w:sz w:val="24"/>
          <w:lang w:val="hu-HU"/>
        </w:rPr>
      </w:pPr>
      <w:r w:rsidRPr="009425D7">
        <w:rPr>
          <w:rStyle w:val="FootnoteReference"/>
          <w:sz w:val="24"/>
          <w:lang w:val="hu-HU"/>
        </w:rPr>
        <w:footnoteRef/>
      </w:r>
      <w:r w:rsidR="009425D7" w:rsidRPr="009425D7">
        <w:rPr>
          <w:color w:val="333333"/>
          <w:sz w:val="24"/>
          <w:shd w:val="clear" w:color="auto" w:fill="FFFFFF"/>
          <w:lang w:val="hu-HU"/>
        </w:rPr>
        <w:t xml:space="preserve"> </w:t>
      </w:r>
      <w:r w:rsidR="009425D7" w:rsidRPr="009425D7">
        <w:rPr>
          <w:color w:val="333333"/>
          <w:sz w:val="24"/>
          <w:shd w:val="clear" w:color="auto" w:fill="FFFFFF"/>
          <w:lang w:val="hu-HU"/>
        </w:rPr>
        <w:tab/>
      </w:r>
      <w:r w:rsidRPr="009425D7">
        <w:rPr>
          <w:color w:val="333333"/>
          <w:sz w:val="24"/>
          <w:shd w:val="clear" w:color="auto" w:fill="FFFFFF"/>
          <w:lang w:val="hu-HU"/>
        </w:rPr>
        <w:t>A Tanács (EU, Euratom) 2024/765 rendelete (2024. február 29.) a 2021–2027-es időszakra vonatkozó többéves pénzügyi keretről szóló (EU, Euratom) 2020/2093 rendelet módosításáról (</w:t>
      </w:r>
      <w:r w:rsidRPr="009425D7">
        <w:rPr>
          <w:sz w:val="24"/>
          <w:lang w:val="hu-HU"/>
        </w:rPr>
        <w:t>HL L, 2024/765, 2024.2</w:t>
      </w:r>
      <w:r w:rsidRPr="009F37EC">
        <w:rPr>
          <w:sz w:val="24"/>
          <w:lang w:val="hu-HU"/>
        </w:rPr>
        <w:t xml:space="preserve">.29., </w:t>
      </w:r>
      <w:r w:rsidRPr="00E21546">
        <w:rPr>
          <w:rStyle w:val="Emphasis"/>
          <w:i w:val="0"/>
          <w:color w:val="333333"/>
          <w:sz w:val="24"/>
          <w:shd w:val="clear" w:color="auto" w:fill="FFFFFF"/>
          <w:lang w:val="hu-HU"/>
        </w:rPr>
        <w:t>ELI</w:t>
      </w:r>
      <w:r w:rsidRPr="009F37EC">
        <w:rPr>
          <w:sz w:val="24"/>
          <w:lang w:val="hu-HU"/>
        </w:rPr>
        <w:t>:</w:t>
      </w:r>
      <w:r w:rsidRPr="00E21546">
        <w:rPr>
          <w:rStyle w:val="Emphasis"/>
          <w:i w:val="0"/>
          <w:color w:val="333333"/>
          <w:sz w:val="24"/>
          <w:shd w:val="clear" w:color="auto" w:fill="FFFFFF"/>
          <w:lang w:val="hu-HU"/>
        </w:rPr>
        <w:t xml:space="preserve"> </w:t>
      </w:r>
      <w:hyperlink r:id="rId2" w:history="1">
        <w:r w:rsidRPr="00E21546">
          <w:rPr>
            <w:rStyle w:val="Hyperlink"/>
            <w:sz w:val="24"/>
            <w:shd w:val="clear" w:color="auto" w:fill="FFFFFF"/>
            <w:lang w:val="hu-HU"/>
          </w:rPr>
          <w:t>https://eur-lex.europa.eu/eli/reg/2024/765/oj?locale=hu</w:t>
        </w:r>
      </w:hyperlink>
      <w:r w:rsidRPr="00E21546">
        <w:rPr>
          <w:rStyle w:val="Emphasis"/>
          <w:i w:val="0"/>
          <w:color w:val="333333"/>
          <w:sz w:val="24"/>
          <w:shd w:val="clear" w:color="auto" w:fill="FFFFFF"/>
          <w:lang w:val="hu-HU"/>
        </w:rPr>
        <w:t>).</w:t>
      </w:r>
    </w:p>
  </w:footnote>
  <w:footnote w:id="3">
    <w:p w:rsidR="00B45416" w:rsidRPr="009425D7" w:rsidRDefault="00B45416" w:rsidP="009425D7">
      <w:pPr>
        <w:pStyle w:val="FootnoteText"/>
        <w:ind w:left="567" w:hanging="567"/>
        <w:rPr>
          <w:sz w:val="24"/>
          <w:lang w:val="hu-HU"/>
        </w:rPr>
      </w:pPr>
      <w:r w:rsidRPr="009425D7">
        <w:rPr>
          <w:rStyle w:val="FootnoteReference"/>
          <w:sz w:val="24"/>
          <w:lang w:val="hu-HU"/>
        </w:rPr>
        <w:footnoteRef/>
      </w:r>
      <w:r w:rsidR="009425D7" w:rsidRPr="009425D7">
        <w:rPr>
          <w:sz w:val="24"/>
          <w:lang w:val="hu-HU"/>
        </w:rPr>
        <w:t xml:space="preserve"> </w:t>
      </w:r>
      <w:r w:rsidR="009425D7" w:rsidRPr="009425D7">
        <w:rPr>
          <w:sz w:val="24"/>
          <w:lang w:val="hu-HU"/>
        </w:rPr>
        <w:tab/>
      </w:r>
      <w:r w:rsidRPr="009425D7">
        <w:rPr>
          <w:sz w:val="24"/>
          <w:lang w:val="hu-HU"/>
        </w:rPr>
        <w:t xml:space="preserve">HL L 433. I, 2020.12.22., 11. o., ELI: </w:t>
      </w:r>
      <w:hyperlink r:id="rId3" w:history="1">
        <w:r w:rsidRPr="009425D7">
          <w:rPr>
            <w:rStyle w:val="Hyperlink"/>
            <w:sz w:val="24"/>
            <w:lang w:val="hu-HU"/>
          </w:rPr>
          <w:t>http://data.europa.eu/eli/reg/2020/2093/oj</w:t>
        </w:r>
      </w:hyperlink>
      <w:r w:rsidRPr="009425D7">
        <w:rPr>
          <w:sz w:val="24"/>
          <w:lang w:val="hu-HU"/>
        </w:rPr>
        <w:t>.</w:t>
      </w:r>
    </w:p>
  </w:footnote>
  <w:footnote w:id="4">
    <w:p w:rsidR="00B45416" w:rsidRPr="009425D7" w:rsidRDefault="00B45416" w:rsidP="009425D7">
      <w:pPr>
        <w:pStyle w:val="FootnoteText"/>
        <w:ind w:left="567" w:hanging="567"/>
        <w:rPr>
          <w:sz w:val="24"/>
          <w:lang w:val="hu-HU"/>
        </w:rPr>
      </w:pPr>
      <w:r w:rsidRPr="009425D7">
        <w:rPr>
          <w:rStyle w:val="FootnoteReference"/>
          <w:sz w:val="24"/>
          <w:lang w:val="hu-HU"/>
        </w:rPr>
        <w:footnoteRef/>
      </w:r>
      <w:r w:rsidR="009425D7" w:rsidRPr="009425D7">
        <w:rPr>
          <w:sz w:val="24"/>
          <w:lang w:val="hu-HU"/>
        </w:rPr>
        <w:t xml:space="preserve"> </w:t>
      </w:r>
      <w:r w:rsidR="009425D7" w:rsidRPr="009425D7">
        <w:rPr>
          <w:sz w:val="24"/>
          <w:lang w:val="hu-HU"/>
        </w:rPr>
        <w:tab/>
      </w:r>
      <w:r w:rsidRPr="009425D7">
        <w:rPr>
          <w:sz w:val="24"/>
          <w:lang w:val="hu-HU"/>
        </w:rPr>
        <w:t xml:space="preserve">HL L 433. I, 2020.12.22., 28. o., </w:t>
      </w:r>
      <w:r w:rsidRPr="009425D7">
        <w:rPr>
          <w:snapToGrid w:val="0"/>
          <w:sz w:val="24"/>
          <w:lang w:val="hu-HU"/>
        </w:rPr>
        <w:t>ELI</w:t>
      </w:r>
      <w:r w:rsidRPr="009425D7">
        <w:rPr>
          <w:sz w:val="24"/>
          <w:lang w:val="hu-HU"/>
        </w:rPr>
        <w:t>:</w:t>
      </w:r>
      <w:r w:rsidRPr="009425D7">
        <w:rPr>
          <w:snapToGrid w:val="0"/>
          <w:sz w:val="24"/>
          <w:lang w:val="hu-HU"/>
        </w:rPr>
        <w:t xml:space="preserve"> </w:t>
      </w:r>
      <w:hyperlink r:id="rId4" w:history="1">
        <w:r w:rsidRPr="009425D7">
          <w:rPr>
            <w:rStyle w:val="Hyperlink"/>
            <w:snapToGrid w:val="0"/>
            <w:sz w:val="24"/>
            <w:lang w:val="hu-HU"/>
          </w:rPr>
          <w:t>http://data.europa.eu/eli/agree_interinstit/2020/1222/oj</w:t>
        </w:r>
      </w:hyperlink>
      <w:r w:rsidRPr="009425D7">
        <w:rPr>
          <w:snapToGrid w:val="0"/>
          <w:sz w:val="24"/>
          <w:lang w:val="hu-HU"/>
        </w:rPr>
        <w:t>.</w:t>
      </w:r>
    </w:p>
  </w:footnote>
  <w:footnote w:id="5">
    <w:p w:rsidR="00B45416" w:rsidRPr="009425D7" w:rsidRDefault="00B45416" w:rsidP="009425D7">
      <w:pPr>
        <w:pStyle w:val="FootnoteText"/>
        <w:ind w:left="567" w:hanging="567"/>
        <w:rPr>
          <w:sz w:val="24"/>
          <w:lang w:val="hu-HU"/>
        </w:rPr>
      </w:pPr>
      <w:r w:rsidRPr="009425D7">
        <w:rPr>
          <w:rStyle w:val="FootnoteReference"/>
          <w:sz w:val="24"/>
          <w:lang w:val="hu-HU"/>
        </w:rPr>
        <w:footnoteRef/>
      </w:r>
      <w:r w:rsidR="009425D7" w:rsidRPr="009425D7">
        <w:rPr>
          <w:sz w:val="24"/>
          <w:lang w:val="hu-HU"/>
        </w:rPr>
        <w:t xml:space="preserve"> </w:t>
      </w:r>
      <w:r w:rsidR="009425D7" w:rsidRPr="009425D7">
        <w:rPr>
          <w:sz w:val="24"/>
          <w:lang w:val="hu-HU"/>
        </w:rPr>
        <w:tab/>
      </w:r>
      <w:r w:rsidRPr="009425D7">
        <w:rPr>
          <w:sz w:val="24"/>
          <w:lang w:val="hu-HU"/>
        </w:rPr>
        <w:t>Az EGAA-rendelet 3. cikke értelmében.</w:t>
      </w:r>
    </w:p>
  </w:footnote>
  <w:footnote w:id="6">
    <w:p w:rsidR="00B45416" w:rsidRPr="009425D7" w:rsidRDefault="00B45416" w:rsidP="009425D7">
      <w:pPr>
        <w:pStyle w:val="FootnoteText"/>
        <w:ind w:left="567" w:hanging="567"/>
        <w:rPr>
          <w:sz w:val="24"/>
          <w:lang w:val="hu-HU"/>
        </w:rPr>
      </w:pPr>
      <w:r w:rsidRPr="009425D7">
        <w:rPr>
          <w:rStyle w:val="FootnoteReference"/>
          <w:sz w:val="24"/>
          <w:lang w:val="hu-HU"/>
        </w:rPr>
        <w:footnoteRef/>
      </w:r>
      <w:r w:rsidR="009425D7" w:rsidRPr="009425D7">
        <w:rPr>
          <w:sz w:val="24"/>
          <w:lang w:val="hu-HU"/>
        </w:rPr>
        <w:t xml:space="preserve"> </w:t>
      </w:r>
      <w:r w:rsidR="009425D7" w:rsidRPr="009425D7">
        <w:rPr>
          <w:sz w:val="24"/>
          <w:lang w:val="hu-HU"/>
        </w:rPr>
        <w:tab/>
      </w:r>
      <w:hyperlink r:id="rId5" w:anchor="figures" w:history="1">
        <w:r w:rsidRPr="009425D7">
          <w:rPr>
            <w:rStyle w:val="Hyperlink"/>
            <w:sz w:val="24"/>
            <w:lang w:val="hu-HU"/>
          </w:rPr>
          <w:t>Statbel.</w:t>
        </w:r>
      </w:hyperlink>
      <w:hyperlink r:id="rId6" w:anchor="figures" w:history="1">
        <w:r w:rsidRPr="009425D7">
          <w:rPr>
            <w:rStyle w:val="Hyperlink"/>
            <w:sz w:val="24"/>
            <w:lang w:val="hu-HU"/>
          </w:rPr>
          <w:t xml:space="preserve"> Emploi et chômage (13.6.2024).</w:t>
        </w:r>
      </w:hyperlink>
      <w:hyperlink r:id="rId7" w:anchor="figures" w:history="1">
        <w:r w:rsidRPr="009425D7">
          <w:rPr>
            <w:rStyle w:val="Hyperlink"/>
            <w:sz w:val="24"/>
            <w:lang w:val="hu-HU"/>
          </w:rPr>
          <w:t>Chiffres</w:t>
        </w:r>
      </w:hyperlink>
      <w:r w:rsidRPr="009425D7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9/2024"/>
    <w:docVar w:name="dvlangue" w:val="HU"/>
    <w:docVar w:name="dvnumam" w:val="0"/>
    <w:docVar w:name="dvpe" w:val="763.160"/>
    <w:docVar w:name="dvrapporteur" w:val="Előadó: "/>
    <w:docVar w:name="dvtitre" w:val="Az Európai Parlament 2024.  ...-i állásfoglalása az elbocsátott munkavállalók támogatását szolgáló Európai Globalizációs Alkalmazkodási Alap igénybevételéről szóló európai parlamenti és tanácsi határozatra irányuló javaslatról (Belgium kérelme – EGF/2024/001 BE/Match-Smatch)(COM(2024)0275 – C10-0101/2024 – 2024/0226(BUD))"/>
  </w:docVars>
  <w:rsids>
    <w:rsidRoot w:val="002C28E9"/>
    <w:rsid w:val="00002272"/>
    <w:rsid w:val="0002343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28E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5167"/>
    <w:rsid w:val="00644EA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34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5D7"/>
    <w:rsid w:val="009509D8"/>
    <w:rsid w:val="00950B64"/>
    <w:rsid w:val="00981893"/>
    <w:rsid w:val="009F37E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41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BA1"/>
    <w:rsid w:val="00D56C11"/>
    <w:rsid w:val="00D834A0"/>
    <w:rsid w:val="00D872DF"/>
    <w:rsid w:val="00D91E21"/>
    <w:rsid w:val="00DA7FCD"/>
    <w:rsid w:val="00E2154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09B9B"/>
  <w15:chartTrackingRefBased/>
  <w15:docId w15:val="{64E83303-CE89-433E-A72A-594179AD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454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B4541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B4541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454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45416"/>
    <w:rPr>
      <w:sz w:val="24"/>
      <w:lang w:val="hu-HU"/>
    </w:rPr>
  </w:style>
  <w:style w:type="paragraph" w:customStyle="1" w:styleId="NormalBold24a">
    <w:name w:val="NormalBold24a"/>
    <w:basedOn w:val="Normal"/>
    <w:rsid w:val="00B45416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B4541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45416"/>
    <w:pPr>
      <w:spacing w:before="480" w:after="240"/>
    </w:pPr>
  </w:style>
  <w:style w:type="character" w:styleId="Hyperlink">
    <w:name w:val="Hyperlink"/>
    <w:basedOn w:val="DefaultParagraphFont"/>
    <w:uiPriority w:val="99"/>
    <w:rsid w:val="00B4541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B45416"/>
    <w:rPr>
      <w:sz w:val="24"/>
      <w:lang w:val="hu-HU"/>
    </w:rPr>
  </w:style>
  <w:style w:type="character" w:styleId="Emphasis">
    <w:name w:val="Emphasis"/>
    <w:basedOn w:val="DefaultParagraphFont"/>
    <w:qFormat/>
    <w:rsid w:val="00B45416"/>
    <w:rPr>
      <w:i/>
      <w:iCs/>
    </w:rPr>
  </w:style>
  <w:style w:type="paragraph" w:customStyle="1" w:styleId="Default">
    <w:name w:val="Default"/>
    <w:rsid w:val="00B45416"/>
    <w:pPr>
      <w:autoSpaceDE w:val="0"/>
      <w:autoSpaceDN w:val="0"/>
      <w:adjustRightInd w:val="0"/>
    </w:pPr>
    <w:rPr>
      <w:color w:val="000000"/>
      <w:sz w:val="24"/>
      <w:szCs w:val="24"/>
      <w:lang w:val="hu-HU"/>
    </w:rPr>
  </w:style>
  <w:style w:type="character" w:customStyle="1" w:styleId="rynqvb">
    <w:name w:val="rynqvb"/>
    <w:basedOn w:val="DefaultParagraphFont"/>
    <w:rsid w:val="00B45416"/>
  </w:style>
  <w:style w:type="paragraph" w:customStyle="1" w:styleId="Institutionquisigne">
    <w:name w:val="Institution qui signe"/>
    <w:basedOn w:val="Normal"/>
    <w:next w:val="Normal"/>
    <w:rsid w:val="00B4541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4541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4541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4541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4541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45416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B45416"/>
    <w:rPr>
      <w:rFonts w:ascii="Arial" w:hAnsi="Arial" w:cs="Arial"/>
      <w:b/>
      <w:sz w:val="24"/>
      <w:lang w:val="hu-HU"/>
    </w:rPr>
  </w:style>
  <w:style w:type="paragraph" w:customStyle="1" w:styleId="Personnequisigne">
    <w:name w:val="Personne qui signe"/>
    <w:basedOn w:val="Normal"/>
    <w:next w:val="Institutionquisigne"/>
    <w:rsid w:val="00B45416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4541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rsid w:val="00FF79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F79E2"/>
    <w:rPr>
      <w:sz w:val="24"/>
      <w:lang w:val="hu-HU"/>
    </w:rPr>
  </w:style>
  <w:style w:type="paragraph" w:styleId="BalloonText">
    <w:name w:val="Balloon Text"/>
    <w:basedOn w:val="Normal"/>
    <w:link w:val="BalloonTextChar"/>
    <w:rsid w:val="00615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5167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644E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4EA1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644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s://statbel.fgov.be/fr/themes/emploi-formation/marche-du-travail/emploi-et-chomage" TargetMode="External"/><Relationship Id="rId2" Type="http://schemas.openxmlformats.org/officeDocument/2006/relationships/hyperlink" Target="http://data.europa.eu/eli/reg/2024/765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s://statbel.fgov.be/fr/themes/emploi-formation/marche-du-travail/emploi-et-chomage" TargetMode="External"/><Relationship Id="rId5" Type="http://schemas.openxmlformats.org/officeDocument/2006/relationships/hyperlink" Target="https://statbel.fgov.be/fr/themes/emploi-formation/marche-du-travail/emploi-et-chomage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C651D-7DF9-4F8F-BCB4-7706FE287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1686</Words>
  <Characters>12385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2024-11-19T17:11:00Z</dcterms:created>
  <dcterms:modified xsi:type="dcterms:W3CDTF">2024-11-19T17:11:00Z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P10_TA(2024)0025_</vt:lpwstr>
  </property>
  <property fmtid="{D5CDD505-2E9C-101B-9397-08002B2CF9AE}" pid="4" name="&lt;Type&gt;">
    <vt:lpwstr>RR</vt:lpwstr>
  </property>
</Properties>
</file>